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FE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D009FE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D009FE" w:rsidRPr="001D7071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1D7071">
        <w:rPr>
          <w:rFonts w:ascii="Times New Roman" w:eastAsia="Times New Roman" w:hAnsi="Times New Roman"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 товару</w:t>
      </w:r>
    </w:p>
    <w:p w:rsidR="00AF4CCC" w:rsidRPr="001801A0" w:rsidRDefault="00AF4CCC" w:rsidP="001801A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за кошти Гранту Європейського Союзу для України та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співфінансування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Сокальської міської ради Львівської області згідно бюджету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Проєкту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№ PLUА.01.02-IP.01-0041/23 «Захист прикордонної річки Буг шляхом розширення санітарної мережі в прикордонних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гмінах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Долгобичув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та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Сокаль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» в межах Програми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Interreg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NEXT Польща – Україна 2021-2027</w:t>
      </w:r>
    </w:p>
    <w:p w:rsidR="001801A0" w:rsidRDefault="001801A0" w:rsidP="001801A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Послуги фінансового менеджера </w:t>
      </w:r>
      <w:proofErr w:type="spellStart"/>
      <w:r w:rsidRPr="001801A0">
        <w:rPr>
          <w:rFonts w:ascii="Times New Roman" w:eastAsia="Times New Roman" w:hAnsi="Times New Roman"/>
          <w:b/>
          <w:sz w:val="20"/>
          <w:szCs w:val="20"/>
        </w:rPr>
        <w:t>проєкту</w:t>
      </w:r>
      <w:proofErr w:type="spellEnd"/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 № PLUA.01.02-IP.01-0041/23 «Захист прикордонної річки Буг шляхом розширення санітарної мережі в прикордонних </w:t>
      </w:r>
      <w:proofErr w:type="spellStart"/>
      <w:r w:rsidRPr="001801A0">
        <w:rPr>
          <w:rFonts w:ascii="Times New Roman" w:eastAsia="Times New Roman" w:hAnsi="Times New Roman"/>
          <w:b/>
          <w:sz w:val="20"/>
          <w:szCs w:val="20"/>
        </w:rPr>
        <w:t>гмінах</w:t>
      </w:r>
      <w:proofErr w:type="spellEnd"/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1801A0">
        <w:rPr>
          <w:rFonts w:ascii="Times New Roman" w:eastAsia="Times New Roman" w:hAnsi="Times New Roman"/>
          <w:b/>
          <w:sz w:val="20"/>
          <w:szCs w:val="20"/>
        </w:rPr>
        <w:t>Долгобичув</w:t>
      </w:r>
      <w:proofErr w:type="spellEnd"/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 та </w:t>
      </w:r>
      <w:proofErr w:type="spellStart"/>
      <w:r w:rsidRPr="001801A0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» в межах Програми </w:t>
      </w:r>
      <w:proofErr w:type="spellStart"/>
      <w:r w:rsidRPr="001801A0">
        <w:rPr>
          <w:rFonts w:ascii="Times New Roman" w:eastAsia="Times New Roman" w:hAnsi="Times New Roman"/>
          <w:b/>
          <w:sz w:val="20"/>
          <w:szCs w:val="20"/>
        </w:rPr>
        <w:t>Interreg</w:t>
      </w:r>
      <w:proofErr w:type="spellEnd"/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 NEXT «Польща – Україна 2021-2027», що </w:t>
      </w:r>
      <w:proofErr w:type="spellStart"/>
      <w:r w:rsidRPr="001801A0">
        <w:rPr>
          <w:rFonts w:ascii="Times New Roman" w:eastAsia="Times New Roman" w:hAnsi="Times New Roman"/>
          <w:b/>
          <w:sz w:val="20"/>
          <w:szCs w:val="20"/>
        </w:rPr>
        <w:t>співфінансується</w:t>
      </w:r>
      <w:proofErr w:type="spellEnd"/>
      <w:r w:rsidRPr="001801A0">
        <w:rPr>
          <w:rFonts w:ascii="Times New Roman" w:eastAsia="Times New Roman" w:hAnsi="Times New Roman"/>
          <w:b/>
          <w:sz w:val="20"/>
          <w:szCs w:val="20"/>
        </w:rPr>
        <w:t xml:space="preserve"> Європейським Союзом через Міністерство фондів розвитку та регіональної політики Республіки Польща </w:t>
      </w:r>
    </w:p>
    <w:p w:rsidR="001801A0" w:rsidRDefault="001801A0" w:rsidP="001801A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801A0">
        <w:rPr>
          <w:rFonts w:ascii="Times New Roman" w:eastAsia="Times New Roman" w:hAnsi="Times New Roman"/>
          <w:b/>
          <w:sz w:val="20"/>
          <w:szCs w:val="20"/>
        </w:rPr>
        <w:t>ДК 021:2015: 79410000-1 Консультаційні послуги з питань підприємницької діяльності та управління</w:t>
      </w:r>
    </w:p>
    <w:p w:rsidR="00D009FE" w:rsidRDefault="00D009FE" w:rsidP="003E5AD6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3E5AD6" w:rsidRPr="003E5AD6" w:rsidRDefault="001801A0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>10</w:t>
      </w:r>
      <w:r w:rsidR="003E5AD6" w:rsidRPr="003E5AD6">
        <w:rPr>
          <w:rFonts w:ascii="Times New Roman" w:eastAsia="Times New Roman" w:hAnsi="Times New Roman"/>
          <w:sz w:val="20"/>
          <w:szCs w:val="20"/>
        </w:rPr>
        <w:t>.04.2025 року</w:t>
      </w:r>
    </w:p>
    <w:p w:rsidR="00D009FE" w:rsidRDefault="008B2E34" w:rsidP="00D009F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1. </w:t>
      </w:r>
      <w:r w:rsidR="00D009FE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Сокальська міська рада Львівської області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80001, Україна , Львівська обл., місто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вулиця Шептицького, будинок 44.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26205171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pStyle w:val="rvps2"/>
              <w:shd w:val="clear" w:color="auto" w:fill="FFFFFF"/>
              <w:spacing w:line="276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8B2E34" w:rsidRDefault="008B2E34" w:rsidP="00E90EE0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2. </w:t>
      </w:r>
      <w:r w:rsidR="00D009FE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</w:t>
      </w:r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Послуги фінансового менеджера </w:t>
      </w:r>
      <w:proofErr w:type="spellStart"/>
      <w:r w:rsidR="00E90EE0" w:rsidRPr="00E90EE0">
        <w:rPr>
          <w:rFonts w:ascii="Times New Roman" w:eastAsia="Times New Roman" w:hAnsi="Times New Roman"/>
          <w:sz w:val="20"/>
          <w:szCs w:val="20"/>
        </w:rPr>
        <w:t>проєкту</w:t>
      </w:r>
      <w:proofErr w:type="spellEnd"/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 № PLUA.01.02-IP.01-0041/23 «Захист прикордонної річки Буг шляхом розширення санітарної мережі в прикордонних </w:t>
      </w:r>
      <w:proofErr w:type="spellStart"/>
      <w:r w:rsidR="00E90EE0" w:rsidRPr="00E90EE0">
        <w:rPr>
          <w:rFonts w:ascii="Times New Roman" w:eastAsia="Times New Roman" w:hAnsi="Times New Roman"/>
          <w:sz w:val="20"/>
          <w:szCs w:val="20"/>
        </w:rPr>
        <w:t>гмінах</w:t>
      </w:r>
      <w:proofErr w:type="spellEnd"/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E90EE0" w:rsidRPr="00E90EE0">
        <w:rPr>
          <w:rFonts w:ascii="Times New Roman" w:eastAsia="Times New Roman" w:hAnsi="Times New Roman"/>
          <w:sz w:val="20"/>
          <w:szCs w:val="20"/>
        </w:rPr>
        <w:t>Долгобичув</w:t>
      </w:r>
      <w:proofErr w:type="spellEnd"/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 w:rsidR="00E90EE0" w:rsidRPr="00E90EE0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» в межах Програми </w:t>
      </w:r>
      <w:proofErr w:type="spellStart"/>
      <w:r w:rsidR="00E90EE0" w:rsidRPr="00E90EE0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 NEXT «Польща – Україна 2021-2027», що </w:t>
      </w:r>
      <w:proofErr w:type="spellStart"/>
      <w:r w:rsidR="00E90EE0" w:rsidRPr="00E90EE0">
        <w:rPr>
          <w:rFonts w:ascii="Times New Roman" w:eastAsia="Times New Roman" w:hAnsi="Times New Roman"/>
          <w:sz w:val="20"/>
          <w:szCs w:val="20"/>
        </w:rPr>
        <w:t>співфінансується</w:t>
      </w:r>
      <w:proofErr w:type="spellEnd"/>
      <w:r w:rsidR="00E90EE0" w:rsidRPr="00E90EE0">
        <w:rPr>
          <w:rFonts w:ascii="Times New Roman" w:eastAsia="Times New Roman" w:hAnsi="Times New Roman"/>
          <w:sz w:val="20"/>
          <w:szCs w:val="20"/>
        </w:rPr>
        <w:t xml:space="preserve"> Європейським Союзом через Міністерство фондів розвитку та регіональ</w:t>
      </w:r>
      <w:r w:rsidR="00E90EE0">
        <w:rPr>
          <w:rFonts w:ascii="Times New Roman" w:eastAsia="Times New Roman" w:hAnsi="Times New Roman"/>
          <w:sz w:val="20"/>
          <w:szCs w:val="20"/>
        </w:rPr>
        <w:t xml:space="preserve">ної політики Республіки Польща </w:t>
      </w:r>
      <w:r w:rsidR="00E90EE0" w:rsidRPr="00E90EE0">
        <w:rPr>
          <w:rFonts w:ascii="Times New Roman" w:eastAsia="Times New Roman" w:hAnsi="Times New Roman"/>
          <w:sz w:val="20"/>
          <w:szCs w:val="20"/>
        </w:rPr>
        <w:t>ДК 021:2015: 79410000-1 Консультаційні послуги з питань підприємницької діяльності та управління</w:t>
      </w:r>
    </w:p>
    <w:p w:rsidR="003F6068" w:rsidRDefault="008B2E34" w:rsidP="00D009F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</w:rPr>
        <w:t xml:space="preserve">3. </w:t>
      </w:r>
      <w:r w:rsidR="00D009FE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E90EE0" w:rsidRPr="00E90EE0">
        <w:rPr>
          <w:rFonts w:ascii="Times New Roman" w:hAnsi="Times New Roman"/>
          <w:b/>
          <w:color w:val="333333"/>
          <w:szCs w:val="20"/>
          <w:shd w:val="clear" w:color="auto" w:fill="FFFFFF"/>
        </w:rPr>
        <w:t>UA-2025-04-10-013884-a</w:t>
      </w:r>
    </w:p>
    <w:p w:rsidR="00D009FE" w:rsidRDefault="003F6068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333333"/>
          <w:szCs w:val="20"/>
          <w:shd w:val="clear" w:color="auto" w:fill="FFFFFF"/>
        </w:rPr>
        <w:t xml:space="preserve">4. </w:t>
      </w:r>
      <w:r w:rsidR="00D009FE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</w:t>
      </w:r>
      <w:r w:rsidR="00D009FE" w:rsidRPr="00F07A63">
        <w:rPr>
          <w:rFonts w:ascii="Times New Roman" w:eastAsia="Times New Roman" w:hAnsi="Times New Roman"/>
          <w:b/>
          <w:sz w:val="20"/>
          <w:szCs w:val="20"/>
        </w:rPr>
        <w:t>:</w:t>
      </w:r>
      <w:r w:rsidR="00D009FE" w:rsidRPr="00F07A63">
        <w:rPr>
          <w:rFonts w:ascii="Times New Roman" w:eastAsia="Times New Roman" w:hAnsi="Times New Roman"/>
          <w:sz w:val="20"/>
          <w:szCs w:val="20"/>
        </w:rPr>
        <w:t xml:space="preserve"> </w:t>
      </w:r>
      <w:r w:rsidR="007D0485" w:rsidRPr="007D0485">
        <w:rPr>
          <w:rFonts w:ascii="Times New Roman" w:eastAsia="Times New Roman" w:hAnsi="Times New Roman"/>
          <w:b/>
          <w:sz w:val="20"/>
          <w:szCs w:val="20"/>
        </w:rPr>
        <w:t xml:space="preserve">945 000 </w:t>
      </w:r>
      <w:proofErr w:type="spellStart"/>
      <w:r w:rsidR="007D0485" w:rsidRPr="007D0485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D0485" w:rsidRPr="007D0485">
        <w:rPr>
          <w:rFonts w:ascii="Times New Roman" w:eastAsia="Times New Roman" w:hAnsi="Times New Roman"/>
          <w:b/>
          <w:sz w:val="20"/>
          <w:szCs w:val="20"/>
        </w:rPr>
        <w:t xml:space="preserve"> без ПДВ</w:t>
      </w:r>
      <w:r w:rsidR="007D048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3F6068">
        <w:rPr>
          <w:rFonts w:ascii="Times New Roman" w:eastAsia="Times New Roman" w:hAnsi="Times New Roman"/>
          <w:sz w:val="20"/>
          <w:szCs w:val="20"/>
        </w:rPr>
        <w:t xml:space="preserve">за кошти Європейського Союзу для України та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співфінансування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Сокальської  міської ради Львівської області згідно 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Проєкту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№  PLUА.01.02-IP.01-0041/23 «Захист прикордонної річки Буг шляхом розширення санітарної мережі в прикордонних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гмінах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Долгобичув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» в межах Програми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NEXT Польща – Україна 2021-2027», який діє в Україні на підставі міжнародного договору -  Рамкової угоди між Урядом України та Комісією Європейських Співтовариств  від 12.12.2006, ратифікована із заявою Законом України від 03.09.2008 № 360-VI; Угоди про фінансування програми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VI-A) NEXT Польща-Україна, ратифікованою Законом України № 3719- IХ від  09.05.2024р.</w:t>
      </w:r>
      <w:r w:rsidR="00820D52">
        <w:rPr>
          <w:rFonts w:ascii="Times New Roman" w:eastAsia="Times New Roman" w:hAnsi="Times New Roman"/>
          <w:sz w:val="20"/>
          <w:szCs w:val="20"/>
        </w:rPr>
        <w:t xml:space="preserve"> </w:t>
      </w:r>
      <w:r w:rsidR="00820D52">
        <w:rPr>
          <w:rFonts w:ascii="Times New Roman" w:eastAsia="Times New Roman" w:hAnsi="Times New Roman"/>
          <w:sz w:val="20"/>
          <w:szCs w:val="20"/>
        </w:rPr>
        <w:t>КЕКВ 2240, КПКВ 0117700.</w:t>
      </w:r>
      <w:bookmarkStart w:id="1" w:name="_GoBack"/>
      <w:bookmarkEnd w:id="1"/>
    </w:p>
    <w:p w:rsidR="007D0485" w:rsidRDefault="00CE6F96" w:rsidP="007D0485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5. </w:t>
      </w:r>
      <w:r w:rsidR="00D009FE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: </w:t>
      </w:r>
      <w:r w:rsidR="007D0485" w:rsidRPr="007D0485">
        <w:rPr>
          <w:rFonts w:ascii="Times New Roman" w:eastAsia="Times New Roman" w:hAnsi="Times New Roman"/>
          <w:b/>
          <w:sz w:val="20"/>
          <w:szCs w:val="20"/>
        </w:rPr>
        <w:t xml:space="preserve">945 000 </w:t>
      </w:r>
      <w:proofErr w:type="spellStart"/>
      <w:r w:rsidR="007D0485" w:rsidRPr="007D0485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7D0485" w:rsidRPr="007D0485">
        <w:rPr>
          <w:rFonts w:ascii="Times New Roman" w:eastAsia="Times New Roman" w:hAnsi="Times New Roman"/>
          <w:b/>
          <w:sz w:val="20"/>
          <w:szCs w:val="20"/>
        </w:rPr>
        <w:t xml:space="preserve"> без ПДВ</w:t>
      </w:r>
    </w:p>
    <w:p w:rsidR="00D009FE" w:rsidRDefault="00D009FE" w:rsidP="007D048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 закупівлі 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</w:t>
      </w: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Враховуючи, що раніше міською радою не здійснювалися закупівлі відповідних послуг та відсутнє регулювання державою цін на дані послуги, найприйнятнішим варіантом формування очікуваної вартості є відповідно до п.1 Розділу 3 Методики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-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аналіз ринку та порівняння ринкових цін.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Замовником 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було надіслано листи потенційним надавачам послуг із єдиними технічними вимогами, приведені до єдиних умов задля отримання комерційних пропозицій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, на підставі отриманої інформації було сформовано очікувану вартість закупівлі.</w:t>
      </w:r>
    </w:p>
    <w:p w:rsidR="00CE6F96" w:rsidRPr="00CE6F96" w:rsidRDefault="00CE6F96" w:rsidP="00CE6F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D009FE" w:rsidRDefault="00CE6F96" w:rsidP="00D009F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6. </w:t>
      </w:r>
      <w:r w:rsidR="00D009FE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/>
      <w:bookmarkEnd w:id="2"/>
    </w:p>
    <w:tbl>
      <w:tblPr>
        <w:tblpPr w:leftFromText="180" w:rightFromText="180" w:vertAnchor="text" w:tblpXSpec="right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632"/>
        <w:gridCol w:w="7433"/>
      </w:tblGrid>
      <w:tr w:rsidR="00EA15A4" w:rsidRPr="00292866" w:rsidTr="008008E6">
        <w:trPr>
          <w:trHeight w:val="264"/>
        </w:trPr>
        <w:tc>
          <w:tcPr>
            <w:tcW w:w="10065" w:type="dxa"/>
            <w:gridSpan w:val="2"/>
            <w:shd w:val="clear" w:color="auto" w:fill="FFFFFF"/>
            <w:vAlign w:val="center"/>
          </w:tcPr>
          <w:p w:rsidR="00EA15A4" w:rsidRPr="00292866" w:rsidRDefault="00EA15A4" w:rsidP="008008E6">
            <w:pPr>
              <w:keepLines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Загальна характеристика предмета закупівлі</w:t>
            </w:r>
          </w:p>
        </w:tc>
      </w:tr>
      <w:tr w:rsidR="00EA15A4" w:rsidRPr="00292866" w:rsidTr="008008E6">
        <w:tc>
          <w:tcPr>
            <w:tcW w:w="2632" w:type="dxa"/>
          </w:tcPr>
          <w:p w:rsidR="00EA15A4" w:rsidRPr="00292866" w:rsidRDefault="00EA15A4" w:rsidP="008008E6">
            <w:pPr>
              <w:keepLines/>
              <w:numPr>
                <w:ilvl w:val="1"/>
                <w:numId w:val="2"/>
              </w:numPr>
              <w:spacing w:after="0" w:line="240" w:lineRule="auto"/>
              <w:ind w:left="597" w:hanging="59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Тип / категорія</w:t>
            </w:r>
          </w:p>
        </w:tc>
        <w:tc>
          <w:tcPr>
            <w:tcW w:w="7433" w:type="dxa"/>
          </w:tcPr>
          <w:p w:rsidR="00EA15A4" w:rsidRPr="00292866" w:rsidRDefault="00EA15A4" w:rsidP="008008E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Послуги (1 послуга)</w:t>
            </w:r>
          </w:p>
        </w:tc>
      </w:tr>
      <w:tr w:rsidR="00EA15A4" w:rsidRPr="00292866" w:rsidTr="008008E6">
        <w:tc>
          <w:tcPr>
            <w:tcW w:w="2632" w:type="dxa"/>
          </w:tcPr>
          <w:p w:rsidR="00EA15A4" w:rsidRPr="00292866" w:rsidRDefault="00EA15A4" w:rsidP="008008E6">
            <w:pPr>
              <w:keepLines/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Найменування предмета закупівлі</w:t>
            </w:r>
          </w:p>
        </w:tc>
        <w:tc>
          <w:tcPr>
            <w:tcW w:w="7433" w:type="dxa"/>
          </w:tcPr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bookmarkStart w:id="3" w:name="_Hlk194307650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Послуги фінансового менеджера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гмінах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» в межах Програми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NEXT «Польща – Україна 2021-2027», що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співфінансується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Європейським Союзом через Міністерство фондів розвитку та регіональної політики Республіки Польща; ДК 021:2015: 79410000-1: Консультаційні послуги з питань підприємницької діяльності та управління</w:t>
            </w:r>
            <w:bookmarkEnd w:id="3"/>
          </w:p>
        </w:tc>
      </w:tr>
      <w:tr w:rsidR="00EA15A4" w:rsidRPr="00292866" w:rsidTr="008008E6">
        <w:tc>
          <w:tcPr>
            <w:tcW w:w="2632" w:type="dxa"/>
          </w:tcPr>
          <w:p w:rsidR="00EA15A4" w:rsidRPr="00292866" w:rsidRDefault="00EA15A4" w:rsidP="008008E6">
            <w:pPr>
              <w:keepLines/>
              <w:numPr>
                <w:ilvl w:val="1"/>
                <w:numId w:val="2"/>
              </w:numPr>
              <w:spacing w:after="0" w:line="240" w:lineRule="auto"/>
              <w:ind w:left="597" w:hanging="59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надання послуг </w:t>
            </w:r>
          </w:p>
        </w:tc>
        <w:tc>
          <w:tcPr>
            <w:tcW w:w="7433" w:type="dxa"/>
          </w:tcPr>
          <w:p w:rsidR="00EA15A4" w:rsidRPr="00292866" w:rsidRDefault="00EA15A4" w:rsidP="008008E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 моменту підписання договору до 30.09.2026 року включно</w:t>
            </w:r>
          </w:p>
        </w:tc>
      </w:tr>
      <w:tr w:rsidR="00EA15A4" w:rsidRPr="00292866" w:rsidTr="008008E6">
        <w:trPr>
          <w:trHeight w:val="44"/>
        </w:trPr>
        <w:tc>
          <w:tcPr>
            <w:tcW w:w="10065" w:type="dxa"/>
            <w:gridSpan w:val="2"/>
            <w:shd w:val="clear" w:color="auto" w:fill="FFFFFF"/>
            <w:vAlign w:val="center"/>
          </w:tcPr>
          <w:p w:rsidR="00EA15A4" w:rsidRPr="00292866" w:rsidRDefault="00EA15A4" w:rsidP="008008E6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Технічна специфікація предмета закупівлі</w:t>
            </w:r>
          </w:p>
        </w:tc>
      </w:tr>
      <w:tr w:rsidR="00EA15A4" w:rsidRPr="00292866" w:rsidTr="008008E6">
        <w:trPr>
          <w:trHeight w:val="414"/>
        </w:trPr>
        <w:tc>
          <w:tcPr>
            <w:tcW w:w="2632" w:type="dxa"/>
          </w:tcPr>
          <w:p w:rsidR="00EA15A4" w:rsidRPr="00292866" w:rsidRDefault="00EA15A4" w:rsidP="008008E6">
            <w:pPr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Найменування, технічні та  кількісні характеристики послуг (основні завдання) </w:t>
            </w:r>
          </w:p>
        </w:tc>
        <w:tc>
          <w:tcPr>
            <w:tcW w:w="7433" w:type="dxa"/>
          </w:tcPr>
          <w:p w:rsidR="00EA15A4" w:rsidRPr="00292866" w:rsidRDefault="00EA15A4" w:rsidP="008008E6">
            <w:pPr>
              <w:spacing w:after="0" w:line="240" w:lineRule="auto"/>
              <w:ind w:left="3" w:right="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bookmarkStart w:id="4" w:name="_Hlk124770593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Послуги фінансового менеджера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гмінах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» в межах Програми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NEXT «Польща – Україна 2021-2027», що </w:t>
            </w:r>
            <w:proofErr w:type="spellStart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співфінансується</w:t>
            </w:r>
            <w:proofErr w:type="spellEnd"/>
            <w:r w:rsidRPr="002928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Європейським Союзом через Міністерство фондів розвитку та регіональної політики Республіки Польща; ДК 021:2015: 79410000-1: Консультаційні послуги з питань підприємницької діяльності та управління</w:t>
            </w:r>
          </w:p>
          <w:p w:rsidR="00EA15A4" w:rsidRPr="00292866" w:rsidRDefault="00EA15A4" w:rsidP="008008E6">
            <w:pPr>
              <w:spacing w:after="0" w:line="240" w:lineRule="auto"/>
              <w:ind w:left="3"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Заходи в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проєкті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/робочі пакети: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РОБОЧИЙ ПАКЕТ 1 - Будівництво санітарної каналізаційної мережі у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гміна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 (Республіка Польща) по вулицях: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Słoneczna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Błotna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Dolna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Górna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Polna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</w:rPr>
              <w:t>Hallera</w:t>
            </w:r>
            <w:proofErr w:type="spellEnd"/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Завдання 1 буде реалізоване польським партнером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і спрямоване на усунення або зменшення таких ключових обмежень, ідентифікованих у процесі аналізу місцевої адміністративної одиниці (перелічено лише найважливіші):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Нерівномірне та неповне охоплення санітарною інфраструктурою на території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гміни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(обмежений доступ жителів до системи санітарної каналізації).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Низька якість комунальних послуг у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, що ґрунтується на традиційних методах вивезення стічних вод із використанням асенізаційних машин для транспортування рідких відходів на очисні споруди.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Низький рівень охорони навколишнього середовища в цьому регіоні.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Таким чином, метою даного завдання є збільшення доступу мешканців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гміни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до централізованої системи відведення стічних вод, що сприятиме зменшенню рівня забруднення ґрунту, підземних і поверхневих вод у цьому регіоні.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Очікувані результати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Унаслідок реалізації інвестиційних заходів буде впорядковано систему управління стічними водами в межах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проєктної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території. Це відбудеться завдяки: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Ліквідації застарілих, технічно несправних і схильних до протікань вигрібних ям.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Підключенню раніше не охоплених централізованою каналізацією об'єктів до новозбудованої санітарної каналізаційної мережі.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Це дозволить зменшити неконтрольовані скиди рідких відходів та запобігти їхньому проникненню у ґрунт, підземні води та глибші шари ґрунту.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Цілі будуть досягнуті через реалізацію інфраструктурного завдання, що включає будівництво каналізаційної мережі та підключення до неї мешканців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гміни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Основні технічні параметри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Загальна довжина запланованої інфраструктури складе 4 970 метрів, з яких: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3 002 метри – самопливна каналізаційна мережа.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1 953 метри – 59 підключень до будинків.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Детальний обсяг робіт у межах Завдання 1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Розробка технічної документації, яка включає: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Підготовку концепції будівництва санітарної каналізаційної мережі.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Розробку будівельного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з усіма необхідними погодженнями.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Отримання картографічних матеріалів для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проєктних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потреб.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Отримання дозволів, узгоджень та дозволу на будівництво.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Підготовку детальних креслень.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Геодезичний супровід.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Будівництво санітарної каналізаційної мережі, включаючи: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Прокладання трубопроводів.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Виконання спрямованого буріння.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Встановлення насосної станції та підключення її до електромережі.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Інвесторський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 нагляд і прийняття інвестиційних робіт (поетапне та фінальне приймання).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Методи будівництва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Система каналізації буде збудована із використанням як траншейних, так і безтраншейних технологій, з урахуванням економічних, екологічних і соціальних аспектів, а також вимог власників земельних ділянок.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Очікувані результати та вплив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 xml:space="preserve">Реалізація завдання матиме значний вплив на досягнення загальних цілей </w:t>
            </w:r>
            <w:proofErr w:type="spellStart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, зокрема: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Будівництво нової гравітаційної санітарної каналізаційної мережі загальною довжиною 4 970 метрів, включаючи підключення до житлових будинків довжиною 1 953 метри.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Збільшення кількості підключеного населення до централізованої системи очищення стічних вод (принаймні вторинної очистки) – 244 особи.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Збільшення довжини нових або модернізованих каналізаційних труб для громадської мережі збору стічних вод – 4,970 км.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sz w:val="20"/>
                <w:szCs w:val="20"/>
              </w:rPr>
              <w:t>Ця інвестиція сприятиме підвищенню якості життя мешканців, покращенню екологічної ситуації та зміцненню сталого розвитку регіону.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2 - Реконструкція напірного трубопроводу від КНС-2 до очисних споруд у місті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(Сокальська міська рада, Україна)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Дане завдання має інфраструктурний характер. За своїм матеріальним обсягом воно стосується інвестиційних заходів, спрямованих на реконструкцію колективної системи водовідведення (аналогічно до каналізаційної інфраструктури на польській стороні). Однак у цьому випадку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проєктні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заходи реалізовуватимуться на території України.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Безпосередня територія втручання, з адміністративної точки зору, розташована у північній частині міста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Будівельний майданчик розміщений приблизно за 1 км на північ від міста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Львівській області.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Завданням є усунення або зменшення наступних основних проблем, ідентифікованих місцевими органами самоврядування: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Зношена каналізаційна мережа, схильна до аварій, що супроводжується високими витратами на обслуговування та значною кількістю пошкоджених і негерметичних труб, що спричиняють витікання стічних вод у ґрунт (м.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Низький рівень екологічного захисту в цих районах.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Ціль аналізованого завдання – забезпечити доступ жителів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Сокаля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 централізованої системи водовідведення (безпосередня територія втручання на українській стороні) та, як наслідок, зменшити рівень забруднення ґрунтів, підземних і поверхневих вод у цих районах.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 пріоритети будуть досягнуті шляхом реалізації інфраструктурного завдання з 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реконструкції напірного трубопроводу від КНС-2 до очисних споруд.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Детальний обсяг заходів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2.1 Реконструкція напірного трубопроводу від КНС-2 до очисних споруд у місті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 рамках завдання передбачено заміну існуючого напірного трубопроводу (одинарна нитка) вздовж існуючого маршруту та будівництво перемикальних камер №1 і №2.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Загальна довжина: 3,384 км.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Передбачені технічні рішення: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Напірна каналізаційна мережа буде збудована з використанням поліетиленових напірних труб PE 100 SDR-17, Ø400x23,6 мм.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 мережі передбачені вхідні сифони у підвищених профільних точках, а також гравітаційні колодязі у нижніх зонах.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Додаткові заходи, що включені до завдання: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підготовка будівельного майданчика,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благоустрій та озеленення території,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виконання будівельних робіт у зимовий період,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засоби для забезпечення обслуговування замовника,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технічний нагляд,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створення фонду страхування документації,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витрати на експертизу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проєктної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документації,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покриття адміністративних витрат будівельних компаній (АВ),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покриття ризиків усіх учасників будівництва.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Очікувані результати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Реконструйована каналізаційна мережа у місті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загальною довжиною 3,384 км.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Значний вплив реалізації цього завдання на загальні цілі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визначається тим, що воно безпосередньо сприятиме досягненню основних індикаторів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наступних напрямках: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Довжина нових або модернізованих трубопроводів у системі централізованого водовідведення (RCO31): 3,384 км.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Кількість населення, підключеного до щонайменше вторинної очистки стічних вод (RCR42): 23 051 особа.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3 - Реалізація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інформаційно-промоційних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заходів відповідно до комунікаційного плану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Проєкту</w:t>
            </w:r>
            <w:proofErr w:type="spellEnd"/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(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Завдання 3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має так званий «м'який» характер. Воно спрямоване на проведення комунікаційних 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інформаційно-промоційних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заходів, які є обов’язковими в межах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 заходи безпосередньо випливають із Комунікаційного плану, розробленого для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Безпосередньою метою дій, визначених у Комунікаційному плані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(які також є невід'ємною частиною Завдання 3), є поширення інформації про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серед цільових груп та кінцевих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бенефіціарів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Це включає інформування про реалізацію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його цілі, масштаби 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співфінансування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фондів ЄС у межах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Детальний перелік заходів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Організація та проведення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зустрічі з нагоди запуску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Гміні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30 осіб).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Організація та проведення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зустрічі з нагоди запуску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місті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30 осіб).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підсумкової зустрічі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Гміні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45 осіб).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підсумкової зустрічі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місті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40 осіб).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Додаткові заходи в межах реалізації Комунікаційного плану: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Встановлення стаціонарних інформаційних табличок із логотипами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у видимих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локаціях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промоційної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кампанії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місцевих та регіональних медіа 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(запланована кількість публікацій, пов’язаних із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проєктом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2 статті у Польщі, 2 статті в Україні).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Публікація та регулярне оновлення інформації про цілі, масштаб і заходи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(на офіційних веб-сайтах партнерів та/або сторінках у соціальних мережах).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Закупівля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рол-апів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використання під час офіційних заходів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Розробка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 (сувенірна продукція та брошури для мешканців і відвідувачів громад) з метою популяризації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Приклади наборів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Екологічні сумки / багаторазові екологічні сумки (наприклад, з полотна або перероблених матеріалів).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Флеш-накопичувач із екологічних матеріалів.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Багаторазова/вий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термочашка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/ дорожній кухоль.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Екологічний блокнот із ручкою.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Багаторазова пляшка для води / фільтр-пляшка.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Заявник також планує випустити приблизно 400 примірників інформаційної брошури про транскордонну співпрацю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Гміни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і міста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реалізований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Формат: A5, приблизна кількість сторінок: 32.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Матеріали будуть використовуватися для просування самого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також спрямовані на популяризацію (серед учасників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інших осіб) польсько-українського партнерства, встановленого між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Гміною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і містом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реалізації цього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як прикладу так званих «найкращих практик».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також планується використовувати як призи у міні конкурсах, запланованих у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Вони будуть адресовані переважно місцевій громаді та тематично сфокусовані на таких питаннях:</w:t>
            </w:r>
          </w:p>
          <w:p w:rsidR="00EA15A4" w:rsidRPr="00292866" w:rsidRDefault="00EA15A4" w:rsidP="00EA15A4">
            <w:pPr>
              <w:numPr>
                <w:ilvl w:val="0"/>
                <w:numId w:val="4"/>
              </w:numPr>
              <w:spacing w:after="0" w:line="240" w:lineRule="auto"/>
              <w:ind w:right="115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знання сфер та питань, які підтримує Програма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2021-2027»;</w:t>
            </w:r>
          </w:p>
          <w:p w:rsidR="00EA15A4" w:rsidRPr="00292866" w:rsidRDefault="00EA15A4" w:rsidP="00EA15A4">
            <w:pPr>
              <w:numPr>
                <w:ilvl w:val="0"/>
                <w:numId w:val="4"/>
              </w:numPr>
              <w:spacing w:after="0" w:line="240" w:lineRule="auto"/>
              <w:ind w:right="115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охорона якості природного середовища;</w:t>
            </w:r>
          </w:p>
          <w:p w:rsidR="00EA15A4" w:rsidRPr="00292866" w:rsidRDefault="00EA15A4" w:rsidP="00EA15A4">
            <w:pPr>
              <w:numPr>
                <w:ilvl w:val="0"/>
                <w:numId w:val="4"/>
              </w:numPr>
              <w:spacing w:after="0" w:line="240" w:lineRule="auto"/>
              <w:ind w:right="115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екологія, зменшення рівня забруднення та раціональне використання водних ресурсів тощо.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4 - Проведення двосторонніх ознайомчих візитів та тематичних семінарів із партнерами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проєкту</w:t>
            </w:r>
            <w:proofErr w:type="spellEnd"/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(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Завдання 4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має так званий «м’який» характер. Воно спрямоване на здійснення комунікаційних 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інформаційно-промоційних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заходів, які є обов’язковими в рамках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передбачено проведення ознайомчих візитів та тематичних семінарів – заходів, у яких візьмуть участь представники польського та українського партнерів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Детальний перелік заходів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транскордонного заходу – ознайомчого візиту до Польщі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Запланована кількість учасників: 10 осіб (5 представників від польського партнера та 5 представників від українського партнера).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транскордонного заходу – ознайомчого візиту до України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Запланована кількість учасників: 10 осіб (5 представників від польського партнера та 5 представників від українського партнера).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Мета ознайомчих візитів: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Взаємний обмін інформацією та досвідом щодо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 операційному, технічному та фінансовому рівнях.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Посилення транскордонної співпраці між партнерами у соціальній, культурній, економічній сферах, а також у сфері розвитку туризму.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Ознайомлення працівників, залучених до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польського та українського боку, із практичними аспектами впровадження подібних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обмін досвідом та найкращими практиками.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тематичного семінару в Польщі для працівників партнера, відповідальних за управління водопостачанням та водовідведенням. Запланована кількість учасників: 10 осіб.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Проведення тематичного семінару в Україні для працівників головного партнера, відповідальних за управління водопостачанням та водовідведенням. Запланована кількість учасників: 10 осіб.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Мета тематичних семінарів: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Обмін знаннями та передовими практиками щодо ефективних рішень в організації управління водопостачанням і водовідведенням у місцевих органах самоврядування, які беруть участь у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проєкті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Обмін досвідом у сфері впровадження ефективних заходів та перевірених інструментів, пов’язаних із охороною навколишнього середовища, збереженням ґрунтів, підземних та поверхневих вод.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Формат та очікувані результати заходів: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Тематичні семінари сприятимуть розвитку практичних навичок і знань серед працівників, відповідальних за управління водопостачанням і водовідведенням, через інтенсивні та структуровані тренінгові сесії.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Ознайомчі візити передбачають участь працівників, залучених до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 тематичні семінари будуть орієнтовані на вузькопрофільних спеціалістів у сфері водопостачання та водовідведення з польського та українського боку.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Важливо, що активна участь представників обох партнерів у підготовці та реалізації заходів є ключовою умовою їхньої ефективності та успішності.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РОБОЧИЙ ПАКЕТ 5 - Переклади документації (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Переклад документації є необхідним для забезпечення ефективної комунікації, розуміння, відповідності законодавчим вимогам, соціальної участі та прозорості в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Це ключовий аспект управління транскордонним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проєктом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який сприяє його успішній реалізації та досягненню запланованих цілей. Переклад документації забезпечить узгодженість і якість інформації у різних мовних версіях. Перекладені документи будуть опрацьовуватися професійними перекладачами, які володіють галузевою термінологією, що дозволить мінімізувати ризик неоднозначностей і помилок в інтерпретації.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Фінансовий менеджер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гмінах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» в межах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2021-2027», що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співфінансується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Європейським Союзом через Міністерство фондів розвитку та регіональної політики Республіки Польща є відповідальним </w:t>
            </w: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за виконання наступних завдань: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інформаційно-консультаційний супровід щодо фінансових питань (формування плану закупівель) під час оформлення пакету документів для перереєстрації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Секретаріаті Кабінету Міністрів України та облдержадміністрації, на території якої реалізується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забезпечення інформаційно-консультаційної підтримки з питань фінансового управління, підготовки фінансових та інших бухгалтерських документів та закупівельних процедур в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забезпечення належного виконання бюджету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зі сторони Партнера 1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інформаційно-консультаційний супровід щодо формування та опису рахунків, актів виконаних робіт та іншої фінансової документації 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забезпечення своєчасного проведення платежів відповідно до умов договорів та графіку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інформаційно-консультаційний супровід управління договорами в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разом з координатором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іншими залученими співробітниками Партнера 1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інформаційно-консультаційний супровід та контроль за відображенням належним чином в обліковій системі Партнера 1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витрачених коштів в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 інформаційно-консультаційний супровід щодо оформлення і надання для обліку первинних та інших необхідних документів</w:t>
            </w:r>
            <w:r w:rsidRPr="00292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аналіз відхилень у витратах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 запланованого бюджету та надання рекомендацій щодо їх корекції 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оцінка можливих фінансових ризиків у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надання рекомендацій Партнеру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щодо їх мінімізації 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розробка прогнозів витрат на наступні періоди для кожного етапу / робочого пакету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підготовка та узгодження фінансових даних з інформаційною частиною звітів про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забезпечення гармонізації фінансових показників з іншими елементами моніторингу результатів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інформаційно-консультаційний супровід та здійснення контролю за підготовкою тендерної документації,  передбаченої заходами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за потреби, надання консультаційної підтримки в організації торгів/ процедур конкурсних відборів із закупівель, що виконуються в межах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Закону України «Про публічні закупівлі», Плану закупівель,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Польща - Україна 2021-2027, Грантового контракту № PLUA.01.02-IP.01-0041/23-00 від 16.09.2024 та Партнерської угоди від 07.10.2024р.;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забезпечення підготовки описів рахунків, узагальнення, формування та подачі проміжних та  фінального фінансових звітів щодо впровадження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07.10.2024р., Постанови Кабінету Міністрів України від 15.02.2002 р. № 153, інших чинних нормативних документів;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безпосередня участь у робочих та інших зустрічах/нарадах, в тому числі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між  робочими групами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а вразі потреби, між іншими зацікавленими сторонами та Головним Партнером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для розгляду прогресу у здійсненні та реалізації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досягнення усіх результатів згідно умов Грантового контракту № PLUA.01.02-IP.01-0041/23-00 від 16.09.2024 та Партнерської угоди від 07.10.2024р.;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підготовка та подача необхідних змін до бюджету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 Головного Партнера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інформаційно-консультаційний супровід з питань дотриманням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Польща - Україна 2021-2027 щодо прийнятності витрат та відповідності витрат запланованим бюджетним лініям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виявлення перешкод і ризиків для ефективного використання фінансів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попереджаючи відповідних зацікавлених осіб, що приймають рішення, а також пропонуючи заходи щодо виправлення становища відповідно до вимог Програми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та чинного законодавства України;</w:t>
            </w:r>
          </w:p>
          <w:p w:rsidR="00EA15A4" w:rsidRPr="00292866" w:rsidRDefault="00EA15A4" w:rsidP="008008E6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за потреби виконання інших завдань, пов’язаних з реалізацією </w:t>
            </w:r>
            <w:proofErr w:type="spellStart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</w:t>
            </w:r>
            <w:bookmarkEnd w:id="4"/>
          </w:p>
        </w:tc>
      </w:tr>
      <w:tr w:rsidR="00EA15A4" w:rsidRPr="00292866" w:rsidTr="008008E6">
        <w:trPr>
          <w:trHeight w:val="414"/>
        </w:trPr>
        <w:tc>
          <w:tcPr>
            <w:tcW w:w="2632" w:type="dxa"/>
          </w:tcPr>
          <w:p w:rsidR="00EA15A4" w:rsidRPr="00292866" w:rsidRDefault="00EA15A4" w:rsidP="008008E6">
            <w:pPr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5" w:name="_Ref483565090"/>
            <w:r w:rsidRPr="0029286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Якісні характеристики</w:t>
            </w:r>
            <w:bookmarkEnd w:id="5"/>
          </w:p>
        </w:tc>
        <w:tc>
          <w:tcPr>
            <w:tcW w:w="7433" w:type="dxa"/>
          </w:tcPr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Якість Послуг, які надаються Виконавцем, повинна відповідати максимально високим професійним стандартам для забезпечення всебічного і повного захисту та представництва прав та інтересів Замовника. </w:t>
            </w:r>
          </w:p>
          <w:p w:rsidR="00EA15A4" w:rsidRPr="00292866" w:rsidRDefault="00EA15A4" w:rsidP="008008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Якісне надання послуг передбачає (зокрема, але не виключно):</w:t>
            </w:r>
          </w:p>
          <w:p w:rsidR="00EA15A4" w:rsidRPr="00292866" w:rsidRDefault="00EA15A4" w:rsidP="00EA15A4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повне та своєчасне виконання завдань Замовника щодо питань з управління фінансами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відповідно до умов Грантового контракту № PLUA.01.02-IP.01-0041/23-00 від 16.09.2024 та Партнерської угоди від 07.10.2024р.;</w:t>
            </w:r>
          </w:p>
          <w:p w:rsidR="00EA15A4" w:rsidRPr="00292866" w:rsidRDefault="00EA15A4" w:rsidP="00EA15A4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ефективне управління фінансовими ресурсами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у відповідності до бюджету, затверджених фінансових процедур та вимог Програми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NEXT Польща - Україна 2021-2027;</w:t>
            </w:r>
          </w:p>
          <w:p w:rsidR="00EA15A4" w:rsidRPr="00292866" w:rsidRDefault="00EA15A4" w:rsidP="00EA15A4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постійний фінансовий моніторинг для забезпечення контролю за витратами, </w:t>
            </w: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lastRenderedPageBreak/>
              <w:t xml:space="preserve">аналізу їх відповідності запланованим бюджетним лініям та запобігання нецільовому використанню коштів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;</w:t>
            </w:r>
          </w:p>
          <w:p w:rsidR="00EA15A4" w:rsidRPr="00292866" w:rsidRDefault="00EA15A4" w:rsidP="00EA15A4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врахування екологічних та соціальних стандартів у бюджетуванні та здійсненні закупівель, забезпечуючи сталість та екологічну відповідальність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проєкту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;</w:t>
            </w:r>
          </w:p>
          <w:p w:rsidR="00EA15A4" w:rsidRPr="00292866" w:rsidRDefault="00EA15A4" w:rsidP="00EA15A4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дотримання принципів прозорості та підзвітності під час управління фінансами, забезпечення відповідності всіх витрат вимогам Програми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Interreg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NEXT Польща - Україна 2021-2027 та чинного законодавства України;</w:t>
            </w:r>
          </w:p>
          <w:p w:rsidR="00EA15A4" w:rsidRPr="00292866" w:rsidRDefault="00EA15A4" w:rsidP="00EA15A4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забезпечення відповідності всіх фінансових процесів принципам </w:t>
            </w:r>
            <w:proofErr w:type="spellStart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>інклюзивності</w:t>
            </w:r>
            <w:proofErr w:type="spellEnd"/>
            <w:r w:rsidRPr="0029286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</w:rPr>
              <w:t xml:space="preserve"> та доступності, врахування гендерно-чутливих підходів у фінансовому управлінні.  </w:t>
            </w:r>
          </w:p>
        </w:tc>
      </w:tr>
    </w:tbl>
    <w:p w:rsidR="00CE6F96" w:rsidRPr="00CE6F96" w:rsidRDefault="00CE6F96" w:rsidP="00CE6F96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CE6F96" w:rsidRPr="00CE6F9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07" w:rsidRDefault="00AB2807" w:rsidP="00AF4CCC">
      <w:pPr>
        <w:spacing w:after="0" w:line="240" w:lineRule="auto"/>
      </w:pPr>
      <w:r>
        <w:separator/>
      </w:r>
    </w:p>
  </w:endnote>
  <w:endnote w:type="continuationSeparator" w:id="0">
    <w:p w:rsidR="00AB2807" w:rsidRDefault="00AB2807" w:rsidP="00AF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616806"/>
      <w:docPartObj>
        <w:docPartGallery w:val="Page Numbers (Bottom of Page)"/>
        <w:docPartUnique/>
      </w:docPartObj>
    </w:sdtPr>
    <w:sdtEndPr/>
    <w:sdtContent>
      <w:p w:rsidR="00EE3538" w:rsidRDefault="00EE3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D52">
          <w:rPr>
            <w:noProof/>
          </w:rPr>
          <w:t>1</w:t>
        </w:r>
        <w:r>
          <w:fldChar w:fldCharType="end"/>
        </w:r>
      </w:p>
    </w:sdtContent>
  </w:sdt>
  <w:p w:rsidR="00EE3538" w:rsidRDefault="00EE35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07" w:rsidRDefault="00AB2807" w:rsidP="00AF4CCC">
      <w:pPr>
        <w:spacing w:after="0" w:line="240" w:lineRule="auto"/>
      </w:pPr>
      <w:r>
        <w:separator/>
      </w:r>
    </w:p>
  </w:footnote>
  <w:footnote w:type="continuationSeparator" w:id="0">
    <w:p w:rsidR="00AB2807" w:rsidRDefault="00AB2807" w:rsidP="00AF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CC" w:rsidRDefault="00AF4CCC">
    <w:pPr>
      <w:pStyle w:val="a3"/>
    </w:pPr>
    <w:r w:rsidRPr="0070136A">
      <w:rPr>
        <w:noProof/>
      </w:rPr>
      <w:drawing>
        <wp:inline distT="0" distB="0" distL="0" distR="0" wp14:anchorId="78070758" wp14:editId="40B1A538">
          <wp:extent cx="3672000" cy="644400"/>
          <wp:effectExtent l="0" t="0" r="508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000" cy="64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82D"/>
    <w:multiLevelType w:val="hybridMultilevel"/>
    <w:tmpl w:val="54ACDE3E"/>
    <w:lvl w:ilvl="0" w:tplc="B4662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3CC3"/>
    <w:multiLevelType w:val="multilevel"/>
    <w:tmpl w:val="6B285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/>
        <w:color w:val="000000"/>
      </w:rPr>
    </w:lvl>
    <w:lvl w:ilvl="3">
      <w:start w:val="1"/>
      <w:numFmt w:val="lowerLetter"/>
      <w:lvlText w:val="%4)"/>
      <w:lvlJc w:val="left"/>
      <w:rPr>
        <w:rFonts w:ascii="Times New Roman" w:eastAsia="Calibri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301723"/>
    <w:multiLevelType w:val="hybridMultilevel"/>
    <w:tmpl w:val="83C80972"/>
    <w:lvl w:ilvl="0" w:tplc="EC80AE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67426"/>
    <w:multiLevelType w:val="hybridMultilevel"/>
    <w:tmpl w:val="643CBDC8"/>
    <w:lvl w:ilvl="0" w:tplc="88FA5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B0FC9"/>
    <w:multiLevelType w:val="hybridMultilevel"/>
    <w:tmpl w:val="ECC00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56"/>
    <w:rsid w:val="001801A0"/>
    <w:rsid w:val="001D7071"/>
    <w:rsid w:val="001E740A"/>
    <w:rsid w:val="00292866"/>
    <w:rsid w:val="002D33BE"/>
    <w:rsid w:val="0033689A"/>
    <w:rsid w:val="0039399D"/>
    <w:rsid w:val="003E5AD6"/>
    <w:rsid w:val="003F6068"/>
    <w:rsid w:val="005A2EB2"/>
    <w:rsid w:val="007D0485"/>
    <w:rsid w:val="00820D52"/>
    <w:rsid w:val="008B2E34"/>
    <w:rsid w:val="00925BFD"/>
    <w:rsid w:val="00940923"/>
    <w:rsid w:val="00975C85"/>
    <w:rsid w:val="00AB2807"/>
    <w:rsid w:val="00AF4CCC"/>
    <w:rsid w:val="00B00256"/>
    <w:rsid w:val="00CE078A"/>
    <w:rsid w:val="00CE6F96"/>
    <w:rsid w:val="00D009FE"/>
    <w:rsid w:val="00DA0924"/>
    <w:rsid w:val="00E90EE0"/>
    <w:rsid w:val="00EA15A4"/>
    <w:rsid w:val="00EE3538"/>
    <w:rsid w:val="00F07A63"/>
    <w:rsid w:val="00F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4CCC"/>
    <w:rPr>
      <w:rFonts w:ascii="Calibri" w:eastAsia="Calibri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4CCC"/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F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4CCC"/>
    <w:rPr>
      <w:rFonts w:ascii="Tahoma" w:eastAsia="Calibri" w:hAnsi="Tahoma" w:cs="Tahoma"/>
      <w:sz w:val="16"/>
      <w:szCs w:val="16"/>
      <w:lang w:eastAsia="uk-UA"/>
    </w:rPr>
  </w:style>
  <w:style w:type="paragraph" w:styleId="a9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a"/>
    <w:uiPriority w:val="34"/>
    <w:qFormat/>
    <w:rsid w:val="00CE6F96"/>
    <w:pPr>
      <w:spacing w:after="160" w:line="259" w:lineRule="auto"/>
      <w:ind w:left="720"/>
      <w:contextualSpacing/>
    </w:pPr>
    <w:rPr>
      <w:rFonts w:cs="Calibri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9"/>
    <w:uiPriority w:val="34"/>
    <w:locked/>
    <w:rsid w:val="00CE6F96"/>
    <w:rPr>
      <w:rFonts w:ascii="Calibri" w:eastAsia="Calibri" w:hAnsi="Calibri" w:cs="Calibri"/>
      <w:lang w:eastAsia="uk-UA"/>
    </w:rPr>
  </w:style>
  <w:style w:type="paragraph" w:styleId="ab">
    <w:name w:val="Normal (Web)"/>
    <w:basedOn w:val="a"/>
    <w:uiPriority w:val="99"/>
    <w:semiHidden/>
    <w:unhideWhenUsed/>
    <w:rsid w:val="00CE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E6F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4CCC"/>
    <w:rPr>
      <w:rFonts w:ascii="Calibri" w:eastAsia="Calibri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4CCC"/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F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4CCC"/>
    <w:rPr>
      <w:rFonts w:ascii="Tahoma" w:eastAsia="Calibri" w:hAnsi="Tahoma" w:cs="Tahoma"/>
      <w:sz w:val="16"/>
      <w:szCs w:val="16"/>
      <w:lang w:eastAsia="uk-UA"/>
    </w:rPr>
  </w:style>
  <w:style w:type="paragraph" w:styleId="a9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a"/>
    <w:uiPriority w:val="34"/>
    <w:qFormat/>
    <w:rsid w:val="00CE6F96"/>
    <w:pPr>
      <w:spacing w:after="160" w:line="259" w:lineRule="auto"/>
      <w:ind w:left="720"/>
      <w:contextualSpacing/>
    </w:pPr>
    <w:rPr>
      <w:rFonts w:cs="Calibri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9"/>
    <w:uiPriority w:val="34"/>
    <w:locked/>
    <w:rsid w:val="00CE6F96"/>
    <w:rPr>
      <w:rFonts w:ascii="Calibri" w:eastAsia="Calibri" w:hAnsi="Calibri" w:cs="Calibri"/>
      <w:lang w:eastAsia="uk-UA"/>
    </w:rPr>
  </w:style>
  <w:style w:type="paragraph" w:styleId="ab">
    <w:name w:val="Normal (Web)"/>
    <w:basedOn w:val="a"/>
    <w:uiPriority w:val="99"/>
    <w:semiHidden/>
    <w:unhideWhenUsed/>
    <w:rsid w:val="00CE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E6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16481</Words>
  <Characters>9395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19</cp:revision>
  <dcterms:created xsi:type="dcterms:W3CDTF">2024-12-19T15:57:00Z</dcterms:created>
  <dcterms:modified xsi:type="dcterms:W3CDTF">2025-04-17T12:26:00Z</dcterms:modified>
</cp:coreProperties>
</file>