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FE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D009FE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D009FE" w:rsidRPr="001D7071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1D7071">
        <w:rPr>
          <w:rFonts w:ascii="Times New Roman" w:eastAsia="Times New Roman" w:hAnsi="Times New Roman"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 товару</w:t>
      </w:r>
    </w:p>
    <w:p w:rsidR="00AF4CCC" w:rsidRPr="001801A0" w:rsidRDefault="00AF4CCC" w:rsidP="001801A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за кошти Гранту Європейського Союзу для України та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співфінансування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Сокальської міської ради Львівської області згідно бюджету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Проєкту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№ PLUА.01.02-IP.01-0041/23 «Захист прикордонної річки Буг шляхом розширення санітарної мережі в прикордонних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гмінах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Долгобичув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та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Сокаль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» в межах Програми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Interreg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NEXT Польща – Україна 2021-2027</w:t>
      </w:r>
    </w:p>
    <w:p w:rsidR="00C535EA" w:rsidRDefault="00C535EA" w:rsidP="00C535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Послуги комунікаційного менеджера </w:t>
      </w:r>
      <w:proofErr w:type="spellStart"/>
      <w:r w:rsidRPr="00C535EA">
        <w:rPr>
          <w:rFonts w:ascii="Times New Roman" w:eastAsia="Times New Roman" w:hAnsi="Times New Roman"/>
          <w:b/>
          <w:sz w:val="20"/>
          <w:szCs w:val="20"/>
        </w:rPr>
        <w:t>проєкту</w:t>
      </w:r>
      <w:proofErr w:type="spellEnd"/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 № PLUA.01.02-IP.01-0041/23 «Захист прикордонної річки Буг шляхом розширення санітарної мережі в прикордонних </w:t>
      </w:r>
      <w:proofErr w:type="spellStart"/>
      <w:r w:rsidRPr="00C535EA">
        <w:rPr>
          <w:rFonts w:ascii="Times New Roman" w:eastAsia="Times New Roman" w:hAnsi="Times New Roman"/>
          <w:b/>
          <w:sz w:val="20"/>
          <w:szCs w:val="20"/>
        </w:rPr>
        <w:t>гмінах</w:t>
      </w:r>
      <w:proofErr w:type="spellEnd"/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C535EA">
        <w:rPr>
          <w:rFonts w:ascii="Times New Roman" w:eastAsia="Times New Roman" w:hAnsi="Times New Roman"/>
          <w:b/>
          <w:sz w:val="20"/>
          <w:szCs w:val="20"/>
        </w:rPr>
        <w:t>Долгобичув</w:t>
      </w:r>
      <w:proofErr w:type="spellEnd"/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 та </w:t>
      </w:r>
      <w:proofErr w:type="spellStart"/>
      <w:r w:rsidRPr="00C535EA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» в межах Програми </w:t>
      </w:r>
      <w:proofErr w:type="spellStart"/>
      <w:r w:rsidRPr="00C535EA">
        <w:rPr>
          <w:rFonts w:ascii="Times New Roman" w:eastAsia="Times New Roman" w:hAnsi="Times New Roman"/>
          <w:b/>
          <w:sz w:val="20"/>
          <w:szCs w:val="20"/>
        </w:rPr>
        <w:t>Interreg</w:t>
      </w:r>
      <w:proofErr w:type="spellEnd"/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 NEXT «Польща – Україна 2021-2027», що </w:t>
      </w:r>
      <w:proofErr w:type="spellStart"/>
      <w:r w:rsidRPr="00C535EA">
        <w:rPr>
          <w:rFonts w:ascii="Times New Roman" w:eastAsia="Times New Roman" w:hAnsi="Times New Roman"/>
          <w:b/>
          <w:sz w:val="20"/>
          <w:szCs w:val="20"/>
        </w:rPr>
        <w:t>співфінансується</w:t>
      </w:r>
      <w:proofErr w:type="spellEnd"/>
      <w:r w:rsidRPr="00C535EA">
        <w:rPr>
          <w:rFonts w:ascii="Times New Roman" w:eastAsia="Times New Roman" w:hAnsi="Times New Roman"/>
          <w:b/>
          <w:sz w:val="20"/>
          <w:szCs w:val="20"/>
        </w:rPr>
        <w:t xml:space="preserve"> Європейським Союзом через Міністерство фондів розвитку та регіональної політики Республіки Польща </w:t>
      </w:r>
    </w:p>
    <w:p w:rsidR="00C535EA" w:rsidRDefault="00C535EA" w:rsidP="00C535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535EA">
        <w:rPr>
          <w:rFonts w:ascii="Times New Roman" w:eastAsia="Times New Roman" w:hAnsi="Times New Roman"/>
          <w:b/>
          <w:sz w:val="20"/>
          <w:szCs w:val="20"/>
        </w:rPr>
        <w:t>ДК 021:2015: 79340000-9 Рекламні та маркетингові послуги</w:t>
      </w:r>
    </w:p>
    <w:p w:rsidR="00D009FE" w:rsidRDefault="00D009FE" w:rsidP="003E5AD6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3E5AD6" w:rsidRPr="003E5AD6" w:rsidRDefault="001801A0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>10</w:t>
      </w:r>
      <w:r w:rsidR="003E5AD6" w:rsidRPr="003E5AD6">
        <w:rPr>
          <w:rFonts w:ascii="Times New Roman" w:eastAsia="Times New Roman" w:hAnsi="Times New Roman"/>
          <w:sz w:val="20"/>
          <w:szCs w:val="20"/>
        </w:rPr>
        <w:t>.04.2025 року</w:t>
      </w:r>
    </w:p>
    <w:p w:rsidR="00D009FE" w:rsidRDefault="008B2E34" w:rsidP="00D009F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1. </w:t>
      </w:r>
      <w:r w:rsidR="00D009FE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Сокальська міська рада Львівської області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80001, Україна , Львівська обл., місто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вулиця Шептицького, будинок 44.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26205171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pStyle w:val="rvps2"/>
              <w:shd w:val="clear" w:color="auto" w:fill="FFFFFF"/>
              <w:spacing w:line="276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C535EA" w:rsidRDefault="008B2E34" w:rsidP="00C535E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2. </w:t>
      </w:r>
      <w:r w:rsidR="00D009FE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</w:t>
      </w:r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Послуги комунікаційного менеджера </w:t>
      </w:r>
      <w:proofErr w:type="spellStart"/>
      <w:r w:rsidR="00C535EA" w:rsidRPr="00C535EA">
        <w:rPr>
          <w:rFonts w:ascii="Times New Roman" w:eastAsia="Times New Roman" w:hAnsi="Times New Roman"/>
          <w:sz w:val="20"/>
          <w:szCs w:val="20"/>
        </w:rPr>
        <w:t>проєкту</w:t>
      </w:r>
      <w:proofErr w:type="spellEnd"/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 № PLUA.01.02-IP.01-0041/23 «Захист прикордонної річки Буг шляхом розширення санітарної мережі в прикордонних </w:t>
      </w:r>
      <w:proofErr w:type="spellStart"/>
      <w:r w:rsidR="00C535EA" w:rsidRPr="00C535EA">
        <w:rPr>
          <w:rFonts w:ascii="Times New Roman" w:eastAsia="Times New Roman" w:hAnsi="Times New Roman"/>
          <w:sz w:val="20"/>
          <w:szCs w:val="20"/>
        </w:rPr>
        <w:t>гмінах</w:t>
      </w:r>
      <w:proofErr w:type="spellEnd"/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C535EA" w:rsidRPr="00C535EA">
        <w:rPr>
          <w:rFonts w:ascii="Times New Roman" w:eastAsia="Times New Roman" w:hAnsi="Times New Roman"/>
          <w:sz w:val="20"/>
          <w:szCs w:val="20"/>
        </w:rPr>
        <w:t>Долгобичув</w:t>
      </w:r>
      <w:proofErr w:type="spellEnd"/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 w:rsidR="00C535EA" w:rsidRPr="00C535EA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» в межах Програми </w:t>
      </w:r>
      <w:proofErr w:type="spellStart"/>
      <w:r w:rsidR="00C535EA" w:rsidRPr="00C535EA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 NEXT «Польща – Україна 2021-2027», що </w:t>
      </w:r>
      <w:proofErr w:type="spellStart"/>
      <w:r w:rsidR="00C535EA" w:rsidRPr="00C535EA">
        <w:rPr>
          <w:rFonts w:ascii="Times New Roman" w:eastAsia="Times New Roman" w:hAnsi="Times New Roman"/>
          <w:sz w:val="20"/>
          <w:szCs w:val="20"/>
        </w:rPr>
        <w:t>співфінансується</w:t>
      </w:r>
      <w:proofErr w:type="spellEnd"/>
      <w:r w:rsidR="00C535EA" w:rsidRPr="00C535EA">
        <w:rPr>
          <w:rFonts w:ascii="Times New Roman" w:eastAsia="Times New Roman" w:hAnsi="Times New Roman"/>
          <w:sz w:val="20"/>
          <w:szCs w:val="20"/>
        </w:rPr>
        <w:t xml:space="preserve"> Європейським Союзом через Міністерство фондів розвитку та регіональ</w:t>
      </w:r>
      <w:r w:rsidR="00C535EA">
        <w:rPr>
          <w:rFonts w:ascii="Times New Roman" w:eastAsia="Times New Roman" w:hAnsi="Times New Roman"/>
          <w:sz w:val="20"/>
          <w:szCs w:val="20"/>
        </w:rPr>
        <w:t xml:space="preserve">ної політики Республіки Польща </w:t>
      </w:r>
      <w:r w:rsidR="00C535EA" w:rsidRPr="00C535EA">
        <w:rPr>
          <w:rFonts w:ascii="Times New Roman" w:eastAsia="Times New Roman" w:hAnsi="Times New Roman"/>
          <w:sz w:val="20"/>
          <w:szCs w:val="20"/>
        </w:rPr>
        <w:t>ДК 021:2015: 79340000-9 Рекламні та маркетингові послуги</w:t>
      </w:r>
    </w:p>
    <w:p w:rsidR="003F6068" w:rsidRDefault="008B2E34" w:rsidP="00C535EA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</w:rPr>
        <w:t xml:space="preserve">3. </w:t>
      </w:r>
      <w:r w:rsidR="00D009FE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C535EA" w:rsidRPr="00C535EA">
        <w:rPr>
          <w:rFonts w:ascii="Times New Roman" w:hAnsi="Times New Roman"/>
          <w:b/>
          <w:color w:val="333333"/>
          <w:szCs w:val="20"/>
          <w:shd w:val="clear" w:color="auto" w:fill="FFFFFF"/>
        </w:rPr>
        <w:t>UA-2025-04-10-013911-a</w:t>
      </w:r>
    </w:p>
    <w:p w:rsidR="00D009FE" w:rsidRDefault="003F6068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333333"/>
          <w:szCs w:val="20"/>
          <w:shd w:val="clear" w:color="auto" w:fill="FFFFFF"/>
        </w:rPr>
        <w:t xml:space="preserve">4. </w:t>
      </w:r>
      <w:r w:rsidR="00D009FE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</w:t>
      </w:r>
      <w:r w:rsidR="00D009FE" w:rsidRPr="00F07A63">
        <w:rPr>
          <w:rFonts w:ascii="Times New Roman" w:eastAsia="Times New Roman" w:hAnsi="Times New Roman"/>
          <w:b/>
          <w:sz w:val="20"/>
          <w:szCs w:val="20"/>
        </w:rPr>
        <w:t>:</w:t>
      </w:r>
      <w:r w:rsidR="00D009FE" w:rsidRPr="00F07A63">
        <w:rPr>
          <w:rFonts w:ascii="Times New Roman" w:eastAsia="Times New Roman" w:hAnsi="Times New Roman"/>
          <w:sz w:val="20"/>
          <w:szCs w:val="20"/>
        </w:rPr>
        <w:t xml:space="preserve"> </w:t>
      </w:r>
      <w:r w:rsidR="00C535EA" w:rsidRPr="00C535EA">
        <w:rPr>
          <w:rFonts w:ascii="Times New Roman" w:eastAsia="Times New Roman" w:hAnsi="Times New Roman"/>
          <w:b/>
          <w:sz w:val="20"/>
          <w:szCs w:val="20"/>
        </w:rPr>
        <w:t xml:space="preserve">486 000 </w:t>
      </w:r>
      <w:proofErr w:type="spellStart"/>
      <w:r w:rsidR="00C535EA" w:rsidRPr="00C535E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C535EA" w:rsidRPr="00C535EA">
        <w:rPr>
          <w:rFonts w:ascii="Times New Roman" w:eastAsia="Times New Roman" w:hAnsi="Times New Roman"/>
          <w:b/>
          <w:sz w:val="20"/>
          <w:szCs w:val="20"/>
        </w:rPr>
        <w:t xml:space="preserve"> без ПДВ</w:t>
      </w:r>
      <w:r w:rsidR="00C535E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3F6068">
        <w:rPr>
          <w:rFonts w:ascii="Times New Roman" w:eastAsia="Times New Roman" w:hAnsi="Times New Roman"/>
          <w:sz w:val="20"/>
          <w:szCs w:val="20"/>
        </w:rPr>
        <w:t xml:space="preserve">за кошти Європейського Союзу для України та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співфінансування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Сокальської  міської ради Львівської області згідно 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Проєкту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№  PLUА.01.02-IP.01-0041/23 «Захист прикордонної річки Буг шляхом розширення санітарної мережі в прикордонних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гмінах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Долгобичув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» в межах Програми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NEXT Польща – Україна 2021-2027», який діє в Україні на підставі міжнародного договору -  Рамкової угоди між Урядом України та Комісією Європейських Співтовариств  від 12.12.2006, ратифікована із заявою Законом України від 03.09.2008 № 360-VI; Угоди про фінансування програми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VI-A) NEXT Польща-Україна, ратифікованою Законом України № 3719- IХ від  09.05.2024р.</w:t>
      </w:r>
      <w:r w:rsidR="00C535EA">
        <w:rPr>
          <w:rFonts w:ascii="Times New Roman" w:eastAsia="Times New Roman" w:hAnsi="Times New Roman"/>
          <w:sz w:val="20"/>
          <w:szCs w:val="20"/>
        </w:rPr>
        <w:t xml:space="preserve"> КЕКВ 2240, КПКВ </w:t>
      </w:r>
      <w:r w:rsidR="00C535EA" w:rsidRPr="00C535EA">
        <w:rPr>
          <w:rFonts w:ascii="Times New Roman" w:eastAsia="Times New Roman" w:hAnsi="Times New Roman"/>
          <w:sz w:val="20"/>
          <w:szCs w:val="20"/>
        </w:rPr>
        <w:t>0117700</w:t>
      </w:r>
      <w:r w:rsidR="00C535EA">
        <w:rPr>
          <w:rFonts w:ascii="Times New Roman" w:eastAsia="Times New Roman" w:hAnsi="Times New Roman"/>
          <w:sz w:val="20"/>
          <w:szCs w:val="20"/>
        </w:rPr>
        <w:t>.</w:t>
      </w:r>
    </w:p>
    <w:p w:rsidR="007D0485" w:rsidRDefault="00CE6F96" w:rsidP="007D048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5. </w:t>
      </w:r>
      <w:r w:rsidR="00D009FE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: </w:t>
      </w:r>
      <w:r w:rsidR="00C535EA" w:rsidRPr="00C535EA">
        <w:rPr>
          <w:rFonts w:ascii="Times New Roman" w:eastAsia="Times New Roman" w:hAnsi="Times New Roman"/>
          <w:b/>
          <w:sz w:val="20"/>
          <w:szCs w:val="20"/>
        </w:rPr>
        <w:t xml:space="preserve">486 000 </w:t>
      </w:r>
      <w:proofErr w:type="spellStart"/>
      <w:r w:rsidR="00C535EA" w:rsidRPr="00C535E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C535EA" w:rsidRPr="00C535EA">
        <w:rPr>
          <w:rFonts w:ascii="Times New Roman" w:eastAsia="Times New Roman" w:hAnsi="Times New Roman"/>
          <w:b/>
          <w:sz w:val="20"/>
          <w:szCs w:val="20"/>
        </w:rPr>
        <w:t xml:space="preserve"> без ПДВ</w:t>
      </w:r>
    </w:p>
    <w:p w:rsidR="00D009FE" w:rsidRDefault="00D009FE" w:rsidP="007D048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 закупівлі 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</w:t>
      </w: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Враховуючи, що раніше міською радою не здійснювалися закупівлі відповідних послуг та відсутнє регулювання державою цін на дані послуги, найприйнятнішим варіантом формування очікуваної вартості є відповідно до п.1 Розділу 3 Методики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-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аналіз ринку та порівняння ринкових цін.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Замовником 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було надіслано листи потенційним надавачам послуг із єдиними технічними вимогами, приведені до єдиних умов задля отримання комерційних пропозицій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, на підставі отриманої інформації було сформовано очікувану вартість закупівлі.</w:t>
      </w:r>
    </w:p>
    <w:p w:rsidR="00CE6F96" w:rsidRPr="00CE6F96" w:rsidRDefault="00CE6F96" w:rsidP="00CE6F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D009FE" w:rsidRDefault="00CE6F96" w:rsidP="00D009F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6. </w:t>
      </w:r>
      <w:r w:rsidR="00D009FE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1" w:name="_heading=h.1fob9te"/>
      <w:bookmarkEnd w:id="1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632"/>
        <w:gridCol w:w="7433"/>
      </w:tblGrid>
      <w:tr w:rsidR="00763BBB" w:rsidRPr="00C370BD" w:rsidTr="00C4146C">
        <w:trPr>
          <w:trHeight w:val="264"/>
        </w:trPr>
        <w:tc>
          <w:tcPr>
            <w:tcW w:w="10065" w:type="dxa"/>
            <w:gridSpan w:val="2"/>
            <w:shd w:val="clear" w:color="auto" w:fill="FFFFFF"/>
            <w:vAlign w:val="center"/>
          </w:tcPr>
          <w:p w:rsidR="00763BBB" w:rsidRPr="00763BBB" w:rsidRDefault="00763BBB" w:rsidP="00C4146C">
            <w:pPr>
              <w:keepLines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" w:name="_GoBack"/>
            <w:bookmarkEnd w:id="2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Загальна характеристика предмета закупівлі</w:t>
            </w:r>
          </w:p>
        </w:tc>
      </w:tr>
      <w:tr w:rsidR="00763BBB" w:rsidRPr="00C370BD" w:rsidTr="00C4146C">
        <w:tc>
          <w:tcPr>
            <w:tcW w:w="2632" w:type="dxa"/>
          </w:tcPr>
          <w:p w:rsidR="00763BBB" w:rsidRPr="00763BBB" w:rsidRDefault="00763BBB" w:rsidP="00C4146C">
            <w:pPr>
              <w:keepLines/>
              <w:numPr>
                <w:ilvl w:val="1"/>
                <w:numId w:val="2"/>
              </w:numPr>
              <w:spacing w:after="0" w:line="240" w:lineRule="auto"/>
              <w:ind w:left="597" w:hanging="59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Тип / категорія</w:t>
            </w:r>
          </w:p>
        </w:tc>
        <w:tc>
          <w:tcPr>
            <w:tcW w:w="7433" w:type="dxa"/>
          </w:tcPr>
          <w:p w:rsidR="00763BBB" w:rsidRPr="00763BBB" w:rsidRDefault="00763BBB" w:rsidP="00C4146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Послуги</w:t>
            </w:r>
          </w:p>
        </w:tc>
      </w:tr>
      <w:tr w:rsidR="00763BBB" w:rsidRPr="00C370BD" w:rsidTr="00C4146C">
        <w:tc>
          <w:tcPr>
            <w:tcW w:w="2632" w:type="dxa"/>
          </w:tcPr>
          <w:p w:rsidR="00763BBB" w:rsidRPr="00763BBB" w:rsidRDefault="00763BBB" w:rsidP="00C4146C">
            <w:pPr>
              <w:keepLines/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Найменування предмета закупівлі</w:t>
            </w:r>
          </w:p>
        </w:tc>
        <w:tc>
          <w:tcPr>
            <w:tcW w:w="7433" w:type="dxa"/>
          </w:tcPr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Послуги комунікаційного менеджера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гмінах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» в межах Програми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NEXT «Польща – Україна 2021-2027», що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співфінансується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Європейським Союзом через Міністерство фондів розвитку та регіональної політики Республіки Польща;  ДК 021:2015: 79340000-9: Рекламні та маркетингові послуги    </w:t>
            </w:r>
          </w:p>
        </w:tc>
      </w:tr>
      <w:tr w:rsidR="00763BBB" w:rsidRPr="00C370BD" w:rsidTr="00C4146C">
        <w:tc>
          <w:tcPr>
            <w:tcW w:w="2632" w:type="dxa"/>
          </w:tcPr>
          <w:p w:rsidR="00763BBB" w:rsidRPr="00763BBB" w:rsidRDefault="00763BBB" w:rsidP="00C4146C">
            <w:pPr>
              <w:keepLines/>
              <w:numPr>
                <w:ilvl w:val="1"/>
                <w:numId w:val="2"/>
              </w:numPr>
              <w:spacing w:after="0" w:line="240" w:lineRule="auto"/>
              <w:ind w:left="597" w:hanging="59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надання послуг </w:t>
            </w:r>
          </w:p>
        </w:tc>
        <w:tc>
          <w:tcPr>
            <w:tcW w:w="7433" w:type="dxa"/>
          </w:tcPr>
          <w:p w:rsidR="00763BBB" w:rsidRPr="00763BBB" w:rsidRDefault="00763BBB" w:rsidP="00C4146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 моменту підписання договору до 30.09.2026 року включно</w:t>
            </w:r>
          </w:p>
        </w:tc>
      </w:tr>
      <w:tr w:rsidR="00763BBB" w:rsidRPr="00C370BD" w:rsidTr="00C4146C">
        <w:trPr>
          <w:trHeight w:val="44"/>
        </w:trPr>
        <w:tc>
          <w:tcPr>
            <w:tcW w:w="10065" w:type="dxa"/>
            <w:gridSpan w:val="2"/>
            <w:shd w:val="clear" w:color="auto" w:fill="FFFFFF"/>
            <w:vAlign w:val="center"/>
          </w:tcPr>
          <w:p w:rsidR="00763BBB" w:rsidRPr="00763BBB" w:rsidRDefault="00763BBB" w:rsidP="00C4146C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Технічна специфікація предмета закупівлі</w:t>
            </w:r>
          </w:p>
        </w:tc>
      </w:tr>
      <w:tr w:rsidR="00763BBB" w:rsidRPr="00C370BD" w:rsidTr="00C4146C">
        <w:trPr>
          <w:trHeight w:val="414"/>
        </w:trPr>
        <w:tc>
          <w:tcPr>
            <w:tcW w:w="2632" w:type="dxa"/>
          </w:tcPr>
          <w:p w:rsidR="00763BBB" w:rsidRPr="00763BBB" w:rsidRDefault="00763BBB" w:rsidP="00C4146C">
            <w:pPr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Найменування, технічні та  кількісні характеристики послуг (основні завдання) </w:t>
            </w:r>
          </w:p>
        </w:tc>
        <w:tc>
          <w:tcPr>
            <w:tcW w:w="7433" w:type="dxa"/>
          </w:tcPr>
          <w:p w:rsidR="00763BBB" w:rsidRPr="00763BBB" w:rsidRDefault="00763BBB" w:rsidP="00C4146C">
            <w:pPr>
              <w:spacing w:after="0" w:line="240" w:lineRule="auto"/>
              <w:ind w:left="3" w:right="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bookmarkStart w:id="3" w:name="_Hlk124770593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Послуги комунікаційного менеджера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гмінах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» в межах Програми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NEXT «Польща – Україна 2021-2027», що </w:t>
            </w:r>
            <w:proofErr w:type="spellStart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співфінансується</w:t>
            </w:r>
            <w:proofErr w:type="spellEnd"/>
            <w:r w:rsidRPr="00763BB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Європейським Союзом через Міністерство фондів розвитку та регіональної політики Республіки Польща;  ДК 021:2015: 79340000-9: Рекламні та маркетингові послуги    </w:t>
            </w:r>
          </w:p>
          <w:p w:rsidR="00763BBB" w:rsidRPr="00763BBB" w:rsidRDefault="00763BBB" w:rsidP="00C4146C">
            <w:pPr>
              <w:spacing w:after="0" w:line="240" w:lineRule="auto"/>
              <w:ind w:left="3"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Заходи в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проєкті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/робочі пакети: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РОБОЧИЙ ПАКЕТ 1 - Будівництво санітарної каналізаційної мережі у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гміна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(Республіка Польща) по вулицях: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Słoneczna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Błotna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Dolna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Górna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Polna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Hallera</w:t>
            </w:r>
            <w:proofErr w:type="spellEnd"/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Завдання 1 буде реалізоване польським партнером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і спрямоване на усунення або зменшення таких ключових обмежень, ідентифікованих у процесі аналізу місцевої адміністративної одиниці (перелічено лише найважливіші):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Нерівномірне та неповне охоплення санітарною інфраструктурою на території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гміни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(обмежений доступ жителів до системи санітарної каналізації).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Низька якість комунальних послуг у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, що ґрунтується на традиційних методах вивезення стічних вод із використанням асенізаційних машин для транспортування рідких відходів на очисні споруди.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Низький рівень охорони навколишнього середовища в цьому регіоні.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Таким чином, метою даного завдання є збільшення доступу мешканців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гміни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до централізованої системи відведення стічних вод, що сприятиме зменшенню рівня забруднення ґрунту, підземних і поверхневих вод у цьому регіоні.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Очікувані результати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Унаслідок реалізації інвестиційних заходів буде впорядковано систему управління стічними водами в межах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проєктної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території. Це відбудеться завдяки: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Ліквідації застарілих, технічно несправних і схильних до протікань вигрібних ям.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Підключенню раніше не охоплених централізованою каналізацією об'єктів до новозбудованої санітарної каналізаційної мережі.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Це дозволить зменшити неконтрольовані скиди рідких відходів та запобігти їхньому проникненню у ґрунт, підземні води та глибші шари ґрунту.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Цілі будуть досягнуті через реалізацію інфраструктурного завдання, що включає будівництво каналізаційної мережі та підключення до неї мешканців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гміни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Основні технічні параметри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Загальна довжина запланованої інфраструктури складе 4 970 метрів, з яких: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3 002 метри – самопливна каналізаційна мережа.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1 953 метри – 59 підключень до будинків.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Детальний обсяг робіт у межах Завдання 1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Розробка технічної документації, яка включає: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Підготовку концепції будівництва санітарної каналізаційної мережі.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Розробку будівельного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з усіма необхідними погодженнями.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Отримання картографічних матеріалів для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проєктних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потреб.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Отримання дозволів, узгоджень та дозволу на будівництво.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Підготовку детальних креслень.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Геодезичний супровід.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Будівництво санітарної каналізаційної мережі, включаючи: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Прокладання трубопроводів.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Виконання спрямованого буріння.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Встановлення насосної станції та підключення її до електромережі.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Інвесторський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 нагляд і прийняття інвестиційних робіт (поетапне та фінальне приймання).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Методи будівництва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Система каналізації буде збудована із використанням як траншейних, так і безтраншейних технологій, з урахуванням економічних, екологічних і соціальних аспектів, а також вимог власників земельних ділянок.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Очікувані результати та вплив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 xml:space="preserve">Реалізація завдання матиме значний вплив на досягнення загальних цілей </w:t>
            </w:r>
            <w:proofErr w:type="spellStart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, зокрема: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Будівництво нової гравітаційної санітарної каналізаційної мережі загальною довжиною 4 970 метрів, включаючи підключення до житлових будинків довжиною 1 953 метри.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Збільшення кількості підключеного населення до централізованої системи очищення стічних вод (принаймні вторинної очистки) – 244 особи.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Збільшення довжини нових або модернізованих каналізаційних труб для громадської мережі збору стічних вод – 4,970 км.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sz w:val="20"/>
                <w:szCs w:val="20"/>
              </w:rPr>
              <w:t>Ця інвестиція сприятиме підвищенню якості життя мешканців, покращенню екологічної ситуації та зміцненню сталого розвитку регіону.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2 - Реконструкція напірного трубопроводу від КНС-2 до очисних споруд у місті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(Сокальська міська рада, Україна)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Дане завдання має інфраструктурний характер. За своїм матеріальним обсягом воно стосується інвестиційних заходів, спрямованих на реконструкцію колективної системи водовідведення (аналогічно до каналізаційної інфраструктури на польській стороні). Однак у цьому випадку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проєктні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заходи реалізовуватимуться на території України.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Безпосередня територія втручання, з адміністративної точки зору, розташована у північній частині міста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Будівельний майданчик розміщений приблизно за 1 км на північ від міста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Львівській області.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Завданням є усунення або зменшення наступних основних проблем, ідентифікованих місцевими органами самоврядування: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Зношена каналізаційна мережа, схильна до аварій, що супроводжується високими витратами на обслуговування та значною кількістю пошкоджених і негерметичних труб, що спричиняють витікання стічних вод у ґрунт (м.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Низький рівень екологічного захисту в цих районах.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Ціль аналізованого завдання – забезпечити доступ жителів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Сокаля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 централізованої системи водовідведення (безпосередня територія втручання на українській стороні) та, як наслідок, зменшити рівень забруднення ґрунтів, підземних і поверхневих вод у цих районах.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Ці пріоритети будуть досягнуті шляхом реалізації інфраструктурного завдання з реконструкції напірного трубопроводу від КНС-2 до очисних споруд.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Детальний обсяг заходів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2.1 Реконструкція напірного трубопроводу від КНС-2 до очисних споруд у місті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 рамках завдання передбачено заміну існуючого напірного трубопроводу (одинарна нитка) вздовж існуючого маршруту та будівництво перемикальних камер №1 і №2.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Загальна довжина: 3,384 км.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Передбачені технічні рішення: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Напірна каналізаційна мережа буде збудована з використанням поліетиленових напірних труб PE 100 SDR-17, Ø400x23,6 мм.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 мережі передбачені вхідні сифони у підвищених профільних точках, а також гравітаційні колодязі у нижніх зонах.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Додаткові заходи, що включені до завдання: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підготовка будівельного майданчика,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благоустрій та озеленення території,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виконання будівельних робіт у зимовий період,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засоби для забезпечення обслуговування замовника,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технічний нагляд,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створення фонду страхування документації,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витрати на експертизу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проєктної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документації,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покриття адміністративних витрат будівельних компаній (АВ),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покриття ризиків усіх учасників будівництва.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Очікувані результати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Реконструйована каналізаційна мережа у місті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загальною довжиною 3,384 км.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Значний вплив реалізації цього завдання на загальні цілі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визначається тим, що воно безпосередньо сприятиме досягненню основних індикаторів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наступних напрямках: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Довжина нових або модернізованих трубопроводів у системі централізованого водовідведення (RCO31): 3,384 км.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Кількість населення, підключеного до щонайменше вторинної очистки стічних вод (RCR42): 23 051 особа.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3 - Реалізація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інформаційно-промоційних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заходів відповідно до комунікаційного плану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Проєкту</w:t>
            </w:r>
            <w:proofErr w:type="spellEnd"/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(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Завдання 3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має так званий «м'який» характер. Воно спрямоване на проведення комунікаційних 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заходів, які є обов’язковими в межах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 заходи безпосередньо випливають із Комунікаційного плану, розробленого для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Безпосередньою метою дій, визначених у Комунікаційному плані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(які також є невід'ємною частиною Завдання 3), є поширення інформації про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серед цільових груп та кінцевих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бенефіціарів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Це включає інформування про реалізацію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його цілі, масштаби 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співфінансування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фондів ЄС у межах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Детальний перелік заходів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Організація та проведення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зустрічі з нагоди запуску реалізації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30 осіб).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Організація та проведення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зустрічі з нагоди запуску реалізації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місті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30 осіб).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підсумкової зустрічі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45 осіб).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підсумкової зустрічі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місті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40 осіб).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Додаткові заходи в межах реалізації Комунікаційного плану: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Встановлення стаціонарних інформаційних табличок із логотипами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у видимих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локаціях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промоційної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кампанії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місцевих та регіональних медіа (запланована кількість публікацій, пов’язаних із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проєктом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2 статті у Польщі, 2 статті в Україні).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Публікація та регулярне оновлення інформації про цілі, масштаб і заходи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(на офіційних веб-сайтах партнерів та/або сторінках у соціальних мережах).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Закупівля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рол-апів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використання під час офіційних заходів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Розробка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 (сувенірна продукція та брошури для мешканців і відвідувачів громад) з метою популяризації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Приклади наборів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Екологічні сумки / багаторазові екологічні сумки (наприклад, з полотна або перероблених матеріалів).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Флеш-накопичувач із екологічних матеріалів.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Багаторазова/вий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термочашка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/ дорожній кухоль.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Екологічний блокнот із ручкою.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Багаторазова пляшка для води / фільтр-пляшка.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Заявник також планує випустити приблизно 400 примірників інформаційної брошури про транскордонну співпрацю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Гміни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і міста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реалізований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Формат: A5, приблизна кількість сторінок: 32.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Матеріали будуть використовуватися для просування самого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також спрямовані на популяризацію (серед учасників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інших осіб) польсько-українського партнерства, встановленого між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Гміною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і містом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реалізації цього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як прикладу так званих «найкращих практик».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також планується використовувати як призи у міні конкурсах, запланованих у межах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Вони будуть адресовані переважно місцевій громаді та тематично сфокусовані на таких питаннях:</w:t>
            </w:r>
          </w:p>
          <w:p w:rsidR="00763BBB" w:rsidRPr="00763BBB" w:rsidRDefault="00763BBB" w:rsidP="00C4146C">
            <w:pPr>
              <w:numPr>
                <w:ilvl w:val="0"/>
                <w:numId w:val="4"/>
              </w:numPr>
              <w:spacing w:after="0" w:line="240" w:lineRule="auto"/>
              <w:ind w:right="115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знання сфер та питань, які підтримує Програма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2021-2027»;</w:t>
            </w:r>
          </w:p>
          <w:p w:rsidR="00763BBB" w:rsidRPr="00763BBB" w:rsidRDefault="00763BBB" w:rsidP="00C4146C">
            <w:pPr>
              <w:numPr>
                <w:ilvl w:val="0"/>
                <w:numId w:val="4"/>
              </w:numPr>
              <w:spacing w:after="0" w:line="240" w:lineRule="auto"/>
              <w:ind w:right="115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охорона якості природного середовища;</w:t>
            </w:r>
          </w:p>
          <w:p w:rsidR="00763BBB" w:rsidRPr="00763BBB" w:rsidRDefault="00763BBB" w:rsidP="00C4146C">
            <w:pPr>
              <w:numPr>
                <w:ilvl w:val="0"/>
                <w:numId w:val="4"/>
              </w:numPr>
              <w:spacing w:after="0" w:line="240" w:lineRule="auto"/>
              <w:ind w:right="115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екологія, зменшення рівня забруднення та раціональне використання водних ресурсів тощо.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4 - Проведення двосторонніх ознайомчих візитів та тематичних семінарів із партнерами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проєкту</w:t>
            </w:r>
            <w:proofErr w:type="spellEnd"/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(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Завдання 4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має так званий «м’який» характер. Воно спрямоване на здійснення комунікаційних 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заходів, які є обов’язковими в рамках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 межах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передбачено проведення ознайомчих візитів та тематичних семінарів – заходів, у яких візьмуть участь представники польського та українського партнерів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Детальний перелік заходів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транскордонного заходу – ознайомчого візиту до Польщі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Запланована кількість учасників: 10 осіб (5 представників від польського партнера та 5 представників від українського партнера).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транскордонного заходу – ознайомчого візиту до України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Запланована кількість учасників: 10 осіб (5 представників від польського партнера та 5 представників від українського партнера).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Мета ознайомчих візитів: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Взаємний обмін інформацією та досвідом щодо реалізації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 операційному, технічному та фінансовому рівнях.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Посилення транскордонної співпраці між партнерами у соціальній, культурній, економічній сферах, а також у сфері розвитку туризму.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Ознайомлення працівників, залучених до реалізації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польського та українського боку, із практичними аспектами впровадження подібних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обмін досвідом та найкращими практиками.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тематичного семінару в Польщі для працівників партнера, відповідальних за управління водопостачанням та водовідведенням. Запланована кількість учасників: 10 осіб.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тематичного семінару в Україні для працівників головного партнера, відповідальних за управління водопостачанням та водовідведенням. Запланована </w:t>
            </w: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кількість учасників: 10 осіб.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Мета тематичних семінарів: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Обмін знаннями та передовими практиками щодо ефективних рішень в організації управління водопостачанням і водовідведенням у місцевих органах самоврядування, які беруть участь у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Обмін досвідом у сфері впровадження ефективних заходів та перевірених інструментів, пов’язаних із охороною навколишнього середовища, збереженням ґрунтів, підземних та поверхневих вод.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Формат та очікувані результати заходів: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Тематичні семінари сприятимуть розвитку практичних навичок і знань серед працівників, відповідальних за управління водопостачанням і водовідведенням, через інтенсивні та структуровані тренінгові сесії.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Ознайомчі візити передбачають участь працівників, залучених до реалізації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 тематичні семінари будуть орієнтовані на вузькопрофільних спеціалістів у сфері водопостачання та водовідведення з польського та українського боку.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Важливо, що активна участь представників обох партнерів у підготовці та реалізації заходів є ключовою умовою їхньої ефективності та успішності.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РОБОЧИЙ ПАКЕТ 5 - Переклади документації (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Переклад документації є необхідним для забезпечення ефективної комунікації, розуміння, відповідності законодавчим вимогам, соціальної участі та прозорості в межах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Це ключовий аспект управління транскордонним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проєктом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який сприяє його успішній реалізації та досягненню запланованих цілей. Переклад документації забезпечить узгодженість і якість інформації у різних мовних версіях. Перекладені документи будуть опрацьовуватися професійними перекладачами, які володіють галузевою термінологією, що дозволить мінімізувати ризик неоднозначностей і помилок в інтерпретації.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Комунікаційний менеджер</w:t>
            </w: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гмінах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» в межах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2021-2027», що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співфінансується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Європейським Союзом через Міністерство фондів розвитку та регіональної політики Республіки Польща є відповідальним </w:t>
            </w: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за виконання наступних завдань: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впровадження та підтримка комунікаційної стратегії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Грантового контракту № PLUA.01.02-IP.01-0041/23-00 від 16.09.2024 та Партнерської угоди від 07.10.2024р.;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забезпечення інформаційної підтримки заходів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(робочих пакетів) через розробку та поширення інформаційних матеріалів (статей, прес-релізів, постів у соціальних мережах,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фото-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відео-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 тощо);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координація всіх комунікаційних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активностей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відповідності до загальної концепції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взаємодія з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підписниками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соцмереж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відповідь на коментарі та повідомлення, моніторинг негативних публікацій та оперативне реагування на кризові ситуації з питань комунікації та просування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налагодження внутрішньої комунікації між персоналом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робочими групами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Головним Партнером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за потреби з іншими інституціями та зацікавленими сторонами;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встановлення контактів з іншими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проєктами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організаціями, медіа та іншими зацікавленими інституціями для обміну досвідом та синергії у висвітленні та просуванні заходів (робочих пакетів)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вимог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формування бази фото, відео, публікацій та інших матеріалів для звітності та історії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вимог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2021-2027»;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координація комунікації із запрошеними експертами та спікерами в межах реалізації заходів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вимог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</w:t>
            </w: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Україна 2021-2027»;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створення, супровід та оновлення офіційних комунікаційних каналів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включаючи веб-сайти, сторінки в соціальних мережах та інші платформи, забезпечення актуальності інформації та узгодження публікацій із Партнером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вимог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підготовка та формування інформаційних матеріалів, написання супровідних текстів, презентацій, підбір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фото-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відео-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контенту для проведення заходів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контроль за розробкою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візуальних матеріалів (плакати, буклети,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тощо) для висвітлення результатів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Грантового контракту № PLUA.01.02-IP.01-0041/23-00 від 16.09.2024 та Партнерської угоди від 07.10.2024р. та вимог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забезпечення дотримання вимог та правил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щодо висвітлення фінансової підтримки донора у публічних матеріалах (використання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лого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дисклеймерів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тощо);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моніторинг інформаційного впливу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аналіз ефективності комунікаційних заходів і корекція комунікаційної стратегії за потреби;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взаємодія зі ЗМІ для забезпечення якісного та прозорого висвітлення заходів і результатів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включаючи підготовку та розсилку прес-релізів;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безпосередня участь у робочих зустрічах, нарадах та інших заходах, пов’язаних із реалізацією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763BBB" w:rsidRPr="00763BBB" w:rsidRDefault="00763BBB" w:rsidP="00C4146C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інші завдання за потреби, пов’язані з комунікаційною підтримкою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Грантового контракту № PLUA.01.02-IP.01-0041/23-00 від 16.09.2024 та Партнерської угоди від 07.10.2024р. та вимог Програми </w:t>
            </w:r>
            <w:proofErr w:type="spellStart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  </w:t>
            </w:r>
            <w:bookmarkEnd w:id="3"/>
          </w:p>
        </w:tc>
      </w:tr>
      <w:tr w:rsidR="00763BBB" w:rsidRPr="00C370BD" w:rsidTr="00C4146C">
        <w:trPr>
          <w:trHeight w:val="414"/>
        </w:trPr>
        <w:tc>
          <w:tcPr>
            <w:tcW w:w="2632" w:type="dxa"/>
          </w:tcPr>
          <w:p w:rsidR="00763BBB" w:rsidRPr="00763BBB" w:rsidRDefault="00763BBB" w:rsidP="00C4146C">
            <w:pPr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4" w:name="_Ref483565090"/>
            <w:r w:rsidRPr="00763BB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Якісні характеристики</w:t>
            </w:r>
            <w:bookmarkEnd w:id="4"/>
          </w:p>
        </w:tc>
        <w:tc>
          <w:tcPr>
            <w:tcW w:w="7433" w:type="dxa"/>
          </w:tcPr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Якість Послуг, які надаються Виконавцем, повинна відповідати максимально високим професійним стандартам для забезпечення всебічного і повного захисту та представництва прав та інтересів Замовника. </w:t>
            </w:r>
          </w:p>
          <w:p w:rsidR="00763BBB" w:rsidRPr="00763BBB" w:rsidRDefault="00763BBB" w:rsidP="00C4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Якісне надання послуг передбачає (зокрема, але не виключно):</w:t>
            </w:r>
          </w:p>
          <w:p w:rsidR="00763BBB" w:rsidRPr="00763BBB" w:rsidRDefault="00763BBB" w:rsidP="00763BB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повне та своєчасне виконання завдань Замовника щодо питань комунікаційного управління </w:t>
            </w:r>
            <w:proofErr w:type="spellStart"/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проєктом</w:t>
            </w:r>
            <w:proofErr w:type="spellEnd"/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відповідно до Грантового контракту № PLUA.01.02-IP.01-0041/23-00 від 16.09.2024 та Партнерської угоди від 07.10.2024р.;</w:t>
            </w:r>
          </w:p>
          <w:p w:rsidR="00763BBB" w:rsidRPr="00763BBB" w:rsidRDefault="00763BBB" w:rsidP="00763BB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ефективне управління комунікаційними ресурсами та інформаційними потоками у відповідності до затвердженої комунікаційної стратегії, вимог Програми </w:t>
            </w:r>
            <w:proofErr w:type="spellStart"/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Interreg</w:t>
            </w:r>
            <w:proofErr w:type="spellEnd"/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NEXT «Польща – Україна 2021-2027» та стандартів європейських комунікацій;</w:t>
            </w:r>
          </w:p>
          <w:p w:rsidR="00763BBB" w:rsidRPr="00763BBB" w:rsidRDefault="00763BBB" w:rsidP="00763BB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врахування екологічних та соціальних стандартів у комунікаційній діяльності, забезпечення сталості інформаційної політики, використання екологічно відповідальних підходів у друкованих матеріалах та медійному висвітленні;</w:t>
            </w:r>
          </w:p>
          <w:p w:rsidR="00763BBB" w:rsidRPr="00763BBB" w:rsidRDefault="00763BBB" w:rsidP="00763BBB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дотримання принципів </w:t>
            </w:r>
            <w:proofErr w:type="spellStart"/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інклюзивності</w:t>
            </w:r>
            <w:proofErr w:type="spellEnd"/>
            <w:r w:rsidRPr="00763BB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та доступності у комунікаціях, адаптація інформаційних матеріалів для різних соціальних груп, врахування гендерно-чутливих підходів у публічних комунікаціях. </w:t>
            </w:r>
          </w:p>
        </w:tc>
      </w:tr>
    </w:tbl>
    <w:p w:rsidR="00CE6F96" w:rsidRPr="00CE6F96" w:rsidRDefault="00CE6F96" w:rsidP="00CE6F96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CE6F96" w:rsidRPr="00CE6F9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64" w:rsidRDefault="00882F64" w:rsidP="00AF4CCC">
      <w:pPr>
        <w:spacing w:after="0" w:line="240" w:lineRule="auto"/>
      </w:pPr>
      <w:r>
        <w:separator/>
      </w:r>
    </w:p>
  </w:endnote>
  <w:endnote w:type="continuationSeparator" w:id="0">
    <w:p w:rsidR="00882F64" w:rsidRDefault="00882F64" w:rsidP="00AF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616806"/>
      <w:docPartObj>
        <w:docPartGallery w:val="Page Numbers (Bottom of Page)"/>
        <w:docPartUnique/>
      </w:docPartObj>
    </w:sdtPr>
    <w:sdtEndPr/>
    <w:sdtContent>
      <w:p w:rsidR="00EE3538" w:rsidRDefault="00EE3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BB">
          <w:rPr>
            <w:noProof/>
          </w:rPr>
          <w:t>7</w:t>
        </w:r>
        <w:r>
          <w:fldChar w:fldCharType="end"/>
        </w:r>
      </w:p>
    </w:sdtContent>
  </w:sdt>
  <w:p w:rsidR="00EE3538" w:rsidRDefault="00EE35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64" w:rsidRDefault="00882F64" w:rsidP="00AF4CCC">
      <w:pPr>
        <w:spacing w:after="0" w:line="240" w:lineRule="auto"/>
      </w:pPr>
      <w:r>
        <w:separator/>
      </w:r>
    </w:p>
  </w:footnote>
  <w:footnote w:type="continuationSeparator" w:id="0">
    <w:p w:rsidR="00882F64" w:rsidRDefault="00882F64" w:rsidP="00AF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CC" w:rsidRDefault="00AF4CCC">
    <w:pPr>
      <w:pStyle w:val="a3"/>
    </w:pPr>
    <w:r w:rsidRPr="0070136A">
      <w:rPr>
        <w:noProof/>
      </w:rPr>
      <w:drawing>
        <wp:inline distT="0" distB="0" distL="0" distR="0" wp14:anchorId="78070758" wp14:editId="40B1A538">
          <wp:extent cx="3672000" cy="644400"/>
          <wp:effectExtent l="0" t="0" r="508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000" cy="64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82D"/>
    <w:multiLevelType w:val="hybridMultilevel"/>
    <w:tmpl w:val="54ACDE3E"/>
    <w:lvl w:ilvl="0" w:tplc="B4662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3CC3"/>
    <w:multiLevelType w:val="multilevel"/>
    <w:tmpl w:val="6B285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/>
        <w:color w:val="000000"/>
      </w:rPr>
    </w:lvl>
    <w:lvl w:ilvl="3">
      <w:start w:val="1"/>
      <w:numFmt w:val="lowerLetter"/>
      <w:lvlText w:val="%4)"/>
      <w:lvlJc w:val="left"/>
      <w:rPr>
        <w:rFonts w:ascii="Times New Roman" w:eastAsia="Calibri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301723"/>
    <w:multiLevelType w:val="hybridMultilevel"/>
    <w:tmpl w:val="83C80972"/>
    <w:lvl w:ilvl="0" w:tplc="EC80AE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67426"/>
    <w:multiLevelType w:val="hybridMultilevel"/>
    <w:tmpl w:val="643CBDC8"/>
    <w:lvl w:ilvl="0" w:tplc="88FA5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B0FC9"/>
    <w:multiLevelType w:val="hybridMultilevel"/>
    <w:tmpl w:val="ECC00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56"/>
    <w:rsid w:val="001801A0"/>
    <w:rsid w:val="001D7071"/>
    <w:rsid w:val="001E740A"/>
    <w:rsid w:val="00292866"/>
    <w:rsid w:val="002D33BE"/>
    <w:rsid w:val="0033689A"/>
    <w:rsid w:val="0039399D"/>
    <w:rsid w:val="003E5AD6"/>
    <w:rsid w:val="003F6068"/>
    <w:rsid w:val="005A2EB2"/>
    <w:rsid w:val="00763BBB"/>
    <w:rsid w:val="007D0485"/>
    <w:rsid w:val="00882F64"/>
    <w:rsid w:val="008B2E34"/>
    <w:rsid w:val="00925BFD"/>
    <w:rsid w:val="00940923"/>
    <w:rsid w:val="00975C85"/>
    <w:rsid w:val="00AF4CCC"/>
    <w:rsid w:val="00B00256"/>
    <w:rsid w:val="00C535EA"/>
    <w:rsid w:val="00CE078A"/>
    <w:rsid w:val="00CE6F96"/>
    <w:rsid w:val="00D009FE"/>
    <w:rsid w:val="00DA0924"/>
    <w:rsid w:val="00E90EE0"/>
    <w:rsid w:val="00EA15A4"/>
    <w:rsid w:val="00EE3538"/>
    <w:rsid w:val="00F07A63"/>
    <w:rsid w:val="00F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4CCC"/>
    <w:rPr>
      <w:rFonts w:ascii="Calibri" w:eastAsia="Calibri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4CCC"/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F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4CCC"/>
    <w:rPr>
      <w:rFonts w:ascii="Tahoma" w:eastAsia="Calibri" w:hAnsi="Tahoma" w:cs="Tahoma"/>
      <w:sz w:val="16"/>
      <w:szCs w:val="16"/>
      <w:lang w:eastAsia="uk-UA"/>
    </w:rPr>
  </w:style>
  <w:style w:type="paragraph" w:styleId="a9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a"/>
    <w:uiPriority w:val="34"/>
    <w:qFormat/>
    <w:rsid w:val="00CE6F96"/>
    <w:pPr>
      <w:spacing w:after="160" w:line="259" w:lineRule="auto"/>
      <w:ind w:left="720"/>
      <w:contextualSpacing/>
    </w:pPr>
    <w:rPr>
      <w:rFonts w:cs="Calibri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9"/>
    <w:uiPriority w:val="34"/>
    <w:locked/>
    <w:rsid w:val="00CE6F96"/>
    <w:rPr>
      <w:rFonts w:ascii="Calibri" w:eastAsia="Calibri" w:hAnsi="Calibri" w:cs="Calibri"/>
      <w:lang w:eastAsia="uk-UA"/>
    </w:rPr>
  </w:style>
  <w:style w:type="paragraph" w:styleId="ab">
    <w:name w:val="Normal (Web)"/>
    <w:basedOn w:val="a"/>
    <w:uiPriority w:val="99"/>
    <w:semiHidden/>
    <w:unhideWhenUsed/>
    <w:rsid w:val="00CE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E6F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4CCC"/>
    <w:rPr>
      <w:rFonts w:ascii="Calibri" w:eastAsia="Calibri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4CCC"/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F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4CCC"/>
    <w:rPr>
      <w:rFonts w:ascii="Tahoma" w:eastAsia="Calibri" w:hAnsi="Tahoma" w:cs="Tahoma"/>
      <w:sz w:val="16"/>
      <w:szCs w:val="16"/>
      <w:lang w:eastAsia="uk-UA"/>
    </w:rPr>
  </w:style>
  <w:style w:type="paragraph" w:styleId="a9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a"/>
    <w:uiPriority w:val="34"/>
    <w:qFormat/>
    <w:rsid w:val="00CE6F96"/>
    <w:pPr>
      <w:spacing w:after="160" w:line="259" w:lineRule="auto"/>
      <w:ind w:left="720"/>
      <w:contextualSpacing/>
    </w:pPr>
    <w:rPr>
      <w:rFonts w:cs="Calibri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9"/>
    <w:uiPriority w:val="34"/>
    <w:locked/>
    <w:rsid w:val="00CE6F96"/>
    <w:rPr>
      <w:rFonts w:ascii="Calibri" w:eastAsia="Calibri" w:hAnsi="Calibri" w:cs="Calibri"/>
      <w:lang w:eastAsia="uk-UA"/>
    </w:rPr>
  </w:style>
  <w:style w:type="paragraph" w:styleId="ab">
    <w:name w:val="Normal (Web)"/>
    <w:basedOn w:val="a"/>
    <w:uiPriority w:val="99"/>
    <w:semiHidden/>
    <w:unhideWhenUsed/>
    <w:rsid w:val="00CE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E6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15256</Words>
  <Characters>8696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19</cp:revision>
  <dcterms:created xsi:type="dcterms:W3CDTF">2024-12-19T15:57:00Z</dcterms:created>
  <dcterms:modified xsi:type="dcterms:W3CDTF">2025-04-17T12:25:00Z</dcterms:modified>
</cp:coreProperties>
</file>