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 товару</w:t>
      </w:r>
    </w:p>
    <w:p w:rsidR="0072531E" w:rsidRPr="0072531E" w:rsidRDefault="0072531E" w:rsidP="0072531E">
      <w:pPr>
        <w:suppressAutoHyphens/>
        <w:spacing w:after="0" w:line="240" w:lineRule="auto"/>
        <w:contextualSpacing/>
        <w:jc w:val="center"/>
        <w:rPr>
          <w:rFonts w:ascii="Times New Roman" w:eastAsia="Times New Roman" w:hAnsi="Times New Roman"/>
          <w:b/>
          <w:szCs w:val="24"/>
          <w:lang w:eastAsia="ru-RU"/>
        </w:rPr>
      </w:pPr>
      <w:r w:rsidRPr="0072531E">
        <w:rPr>
          <w:rFonts w:ascii="Times New Roman" w:eastAsia="Times New Roman" w:hAnsi="Times New Roman"/>
          <w:b/>
          <w:szCs w:val="24"/>
          <w:lang w:eastAsia="ru-RU"/>
        </w:rPr>
        <w:t xml:space="preserve">Обладнання для місцевої автоматизованої системи централізованого оповіщення </w:t>
      </w:r>
    </w:p>
    <w:p w:rsidR="0072531E" w:rsidRPr="0072531E" w:rsidRDefault="0072531E" w:rsidP="0072531E">
      <w:pPr>
        <w:suppressAutoHyphens/>
        <w:spacing w:after="0" w:line="240" w:lineRule="auto"/>
        <w:contextualSpacing/>
        <w:jc w:val="center"/>
        <w:rPr>
          <w:rFonts w:ascii="Times New Roman" w:eastAsia="Times New Roman" w:hAnsi="Times New Roman"/>
          <w:b/>
          <w:szCs w:val="24"/>
          <w:lang w:eastAsia="ru-RU"/>
        </w:rPr>
      </w:pPr>
      <w:r w:rsidRPr="0072531E">
        <w:rPr>
          <w:rFonts w:ascii="Times New Roman" w:eastAsia="Times New Roman" w:hAnsi="Times New Roman"/>
          <w:b/>
          <w:szCs w:val="24"/>
          <w:lang w:eastAsia="ru-RU"/>
        </w:rPr>
        <w:t>(типу КГО-02/БОУ-200)</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BE2CDE">
        <w:rPr>
          <w:rFonts w:ascii="Times New Roman" w:eastAsia="Times New Roman" w:hAnsi="Times New Roman"/>
          <w:b/>
          <w:sz w:val="20"/>
          <w:szCs w:val="20"/>
          <w:u w:val="single"/>
        </w:rPr>
        <w:t xml:space="preserve">30 травня 2025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1D74DE" w:rsidRPr="005B0BB1" w:rsidRDefault="001D74DE" w:rsidP="005B0BB1">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5B0BB1" w:rsidRPr="005B0BB1">
        <w:rPr>
          <w:rFonts w:ascii="Times New Roman" w:eastAsia="Times New Roman" w:hAnsi="Times New Roman"/>
          <w:sz w:val="20"/>
          <w:szCs w:val="20"/>
        </w:rPr>
        <w:t>Обладнання для місцевої автоматизованої систе</w:t>
      </w:r>
      <w:r w:rsidR="005B0BB1">
        <w:rPr>
          <w:rFonts w:ascii="Times New Roman" w:eastAsia="Times New Roman" w:hAnsi="Times New Roman"/>
          <w:sz w:val="20"/>
          <w:szCs w:val="20"/>
        </w:rPr>
        <w:t xml:space="preserve">ми централізованого оповіщення </w:t>
      </w:r>
      <w:r w:rsidR="005B0BB1" w:rsidRPr="005B0BB1">
        <w:rPr>
          <w:rFonts w:ascii="Times New Roman" w:eastAsia="Times New Roman" w:hAnsi="Times New Roman"/>
          <w:sz w:val="20"/>
          <w:szCs w:val="20"/>
        </w:rPr>
        <w:t>(типу КГО-02/БОУ-200)</w:t>
      </w:r>
      <w:r w:rsidR="00BC3F1F">
        <w:rPr>
          <w:rFonts w:ascii="Times New Roman" w:eastAsia="Times New Roman" w:hAnsi="Times New Roman"/>
          <w:sz w:val="20"/>
          <w:szCs w:val="20"/>
        </w:rPr>
        <w:t xml:space="preserve">, </w:t>
      </w:r>
      <w:r w:rsidR="00BC3F1F" w:rsidRPr="00BC3F1F">
        <w:rPr>
          <w:rFonts w:ascii="Times New Roman" w:eastAsia="Times New Roman" w:hAnsi="Times New Roman"/>
          <w:sz w:val="20"/>
          <w:szCs w:val="20"/>
        </w:rPr>
        <w:t>ДК 021:2015: 32340000-8 Мікрофони та гучномовці</w:t>
      </w:r>
      <w:r w:rsidR="00BC3F1F">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5B0BB1" w:rsidRPr="005B0BB1">
        <w:rPr>
          <w:rFonts w:ascii="Times New Roman" w:hAnsi="Times New Roman"/>
          <w:b/>
          <w:color w:val="333333"/>
          <w:szCs w:val="20"/>
          <w:shd w:val="clear" w:color="auto" w:fill="FFFFFF"/>
        </w:rPr>
        <w:t>UA-2025-05-30-004229-a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5B0BB1" w:rsidRPr="005B0BB1">
        <w:rPr>
          <w:rFonts w:ascii="Times New Roman" w:eastAsia="Times New Roman" w:hAnsi="Times New Roman"/>
          <w:b/>
          <w:sz w:val="20"/>
          <w:szCs w:val="20"/>
        </w:rPr>
        <w:t>1 028 000</w:t>
      </w:r>
      <w:r w:rsidR="006B71D2">
        <w:rPr>
          <w:rFonts w:ascii="Times New Roman" w:eastAsia="Times New Roman" w:hAnsi="Times New Roman"/>
          <w:b/>
          <w:sz w:val="20"/>
          <w:szCs w:val="20"/>
        </w:rPr>
        <w:t xml:space="preserve">,00 </w:t>
      </w:r>
      <w:proofErr w:type="spellStart"/>
      <w:r w:rsidR="005038BC" w:rsidRPr="005038BC">
        <w:rPr>
          <w:rFonts w:ascii="Times New Roman" w:eastAsia="Times New Roman" w:hAnsi="Times New Roman"/>
          <w:b/>
          <w:sz w:val="20"/>
          <w:szCs w:val="20"/>
        </w:rPr>
        <w:t>грн</w:t>
      </w:r>
      <w:proofErr w:type="spellEnd"/>
      <w:r w:rsidR="005038BC" w:rsidRPr="005038BC">
        <w:rPr>
          <w:rFonts w:ascii="Times New Roman" w:eastAsia="Times New Roman" w:hAnsi="Times New Roman"/>
          <w:b/>
          <w:sz w:val="20"/>
          <w:szCs w:val="20"/>
        </w:rPr>
        <w:t xml:space="preserve"> з ПДВ</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місцевого та обласного бюджетів, </w:t>
      </w:r>
      <w:r>
        <w:rPr>
          <w:rFonts w:ascii="Times New Roman" w:eastAsia="Times New Roman" w:hAnsi="Times New Roman"/>
          <w:color w:val="000000"/>
          <w:szCs w:val="20"/>
        </w:rPr>
        <w:t xml:space="preserve">КЕКВ  </w:t>
      </w:r>
      <w:r w:rsidR="006B71D2">
        <w:rPr>
          <w:rFonts w:ascii="Times New Roman" w:eastAsia="Times New Roman" w:hAnsi="Times New Roman"/>
          <w:color w:val="000000"/>
          <w:szCs w:val="20"/>
        </w:rPr>
        <w:t>3110</w:t>
      </w:r>
      <w:r>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7E31D8" w:rsidRPr="007E31D8">
        <w:rPr>
          <w:rFonts w:ascii="Times New Roman" w:eastAsia="Times New Roman" w:hAnsi="Times New Roman"/>
          <w:sz w:val="20"/>
          <w:szCs w:val="20"/>
        </w:rPr>
        <w:t xml:space="preserve">: </w:t>
      </w:r>
      <w:r w:rsidR="00956EAF" w:rsidRPr="00956EAF">
        <w:rPr>
          <w:rFonts w:ascii="Times New Roman" w:eastAsia="Times New Roman" w:hAnsi="Times New Roman"/>
          <w:b/>
          <w:sz w:val="20"/>
          <w:szCs w:val="20"/>
        </w:rPr>
        <w:t>1 028</w:t>
      </w:r>
      <w:r w:rsidR="00956EAF">
        <w:rPr>
          <w:rFonts w:ascii="Times New Roman" w:eastAsia="Times New Roman" w:hAnsi="Times New Roman"/>
          <w:b/>
          <w:sz w:val="20"/>
          <w:szCs w:val="20"/>
        </w:rPr>
        <w:t> </w:t>
      </w:r>
      <w:r w:rsidR="00956EAF" w:rsidRPr="00956EAF">
        <w:rPr>
          <w:rFonts w:ascii="Times New Roman" w:eastAsia="Times New Roman" w:hAnsi="Times New Roman"/>
          <w:b/>
          <w:sz w:val="20"/>
          <w:szCs w:val="20"/>
        </w:rPr>
        <w:t>000</w:t>
      </w:r>
      <w:r w:rsidR="00956EAF">
        <w:rPr>
          <w:rFonts w:ascii="Times New Roman" w:eastAsia="Times New Roman" w:hAnsi="Times New Roman"/>
          <w:b/>
          <w:sz w:val="20"/>
          <w:szCs w:val="20"/>
        </w:rPr>
        <w:t xml:space="preserve">, 00 </w:t>
      </w:r>
      <w:proofErr w:type="spellStart"/>
      <w:r w:rsidR="005038BC" w:rsidRPr="005038BC">
        <w:rPr>
          <w:rFonts w:ascii="Times New Roman" w:eastAsia="Times New Roman" w:hAnsi="Times New Roman"/>
          <w:sz w:val="20"/>
          <w:szCs w:val="20"/>
        </w:rPr>
        <w:t>грн</w:t>
      </w:r>
      <w:proofErr w:type="spellEnd"/>
      <w:r w:rsidR="005038BC" w:rsidRPr="005038BC">
        <w:rPr>
          <w:rFonts w:ascii="Times New Roman" w:eastAsia="Times New Roman" w:hAnsi="Times New Roman"/>
          <w:sz w:val="20"/>
          <w:szCs w:val="20"/>
        </w:rPr>
        <w:t xml:space="preserve"> з ПДВ</w:t>
      </w:r>
      <w:r w:rsidR="005038BC">
        <w:rPr>
          <w:rFonts w:ascii="Times New Roman" w:eastAsia="Times New Roman" w:hAnsi="Times New Roman"/>
          <w:sz w:val="20"/>
          <w:szCs w:val="20"/>
        </w:rPr>
        <w:t>.</w:t>
      </w:r>
    </w:p>
    <w:p w:rsidR="001D74DE" w:rsidRPr="007A292C" w:rsidRDefault="00220C13" w:rsidP="006B71D2">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w:t>
      </w:r>
      <w:r w:rsidR="006B71D2">
        <w:rPr>
          <w:rFonts w:ascii="Times New Roman" w:eastAsia="Times New Roman" w:hAnsi="Times New Roman"/>
          <w:sz w:val="20"/>
          <w:szCs w:val="20"/>
        </w:rPr>
        <w:t>товарів</w:t>
      </w:r>
      <w:r w:rsidRPr="00220C13">
        <w:rPr>
          <w:rFonts w:ascii="Times New Roman" w:eastAsia="Times New Roman" w:hAnsi="Times New Roman"/>
          <w:sz w:val="20"/>
          <w:szCs w:val="20"/>
        </w:rPr>
        <w:t>, яка міститься у відкритих джерелах (у тому числі на сайтах виробників та/або постачальників відповідної продукції, в електронній системі закупівель "</w:t>
      </w:r>
      <w:proofErr w:type="spellStart"/>
      <w:r w:rsidRPr="00220C13">
        <w:rPr>
          <w:rFonts w:ascii="Times New Roman" w:eastAsia="Times New Roman" w:hAnsi="Times New Roman"/>
          <w:sz w:val="20"/>
          <w:szCs w:val="20"/>
        </w:rPr>
        <w:t>Prozorro</w:t>
      </w:r>
      <w:proofErr w:type="spellEnd"/>
      <w:r w:rsidRPr="00220C13">
        <w:rPr>
          <w:rFonts w:ascii="Times New Roman" w:eastAsia="Times New Roman" w:hAnsi="Times New Roman"/>
          <w:sz w:val="20"/>
          <w:szCs w:val="20"/>
        </w:rPr>
        <w:t xml:space="preserve">" та на аналогічних торгівельних електронних майданчиках, тощо), так і інформацію, отриману шляхом проведення ринкових консультацій. </w:t>
      </w:r>
    </w:p>
    <w:p w:rsidR="001D74DE" w:rsidRPr="00B11F4E" w:rsidRDefault="001D74DE" w:rsidP="00220C13">
      <w:pPr>
        <w:spacing w:after="0" w:line="240" w:lineRule="auto"/>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1D74DE" w:rsidRDefault="002F3558" w:rsidP="00EF3108">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sz w:val="20"/>
          <w:szCs w:val="20"/>
        </w:rPr>
      </w:pPr>
      <w:r w:rsidRPr="002F3558">
        <w:rPr>
          <w:rFonts w:ascii="Times New Roman" w:eastAsia="Times New Roman" w:hAnsi="Times New Roman"/>
          <w:sz w:val="20"/>
          <w:szCs w:val="20"/>
        </w:rPr>
        <w:t xml:space="preserve">З метою забезпечення </w:t>
      </w:r>
      <w:r>
        <w:rPr>
          <w:rFonts w:ascii="Times New Roman" w:eastAsia="Times New Roman" w:hAnsi="Times New Roman"/>
          <w:sz w:val="20"/>
          <w:szCs w:val="20"/>
        </w:rPr>
        <w:t>потреби</w:t>
      </w:r>
      <w:r w:rsidRPr="002F3558">
        <w:rPr>
          <w:rFonts w:ascii="Times New Roman" w:eastAsia="Times New Roman" w:hAnsi="Times New Roman"/>
          <w:sz w:val="20"/>
          <w:szCs w:val="20"/>
        </w:rPr>
        <w:t xml:space="preserve"> у</w:t>
      </w:r>
      <w:r>
        <w:rPr>
          <w:rFonts w:ascii="Times New Roman" w:eastAsia="Times New Roman" w:hAnsi="Times New Roman"/>
          <w:sz w:val="20"/>
          <w:szCs w:val="20"/>
        </w:rPr>
        <w:t xml:space="preserve"> забезпечення готовності систем </w:t>
      </w:r>
      <w:r w:rsidRPr="002F3558">
        <w:rPr>
          <w:rFonts w:ascii="Times New Roman" w:eastAsia="Times New Roman" w:hAnsi="Times New Roman"/>
          <w:sz w:val="20"/>
          <w:szCs w:val="20"/>
        </w:rPr>
        <w:t>оповіщення і зв’язку цивільного захисту громади, оповіщення насел</w:t>
      </w:r>
      <w:r>
        <w:rPr>
          <w:rFonts w:ascii="Times New Roman" w:eastAsia="Times New Roman" w:hAnsi="Times New Roman"/>
          <w:sz w:val="20"/>
          <w:szCs w:val="20"/>
        </w:rPr>
        <w:t xml:space="preserve">ення громади у період правового режиму воєнного стану необхідно здійснити придбання </w:t>
      </w:r>
      <w:r w:rsidR="00EF3108">
        <w:rPr>
          <w:rFonts w:ascii="Times New Roman" w:eastAsia="Times New Roman" w:hAnsi="Times New Roman"/>
          <w:sz w:val="20"/>
          <w:szCs w:val="20"/>
        </w:rPr>
        <w:t>«</w:t>
      </w:r>
      <w:r w:rsidR="00EF3108" w:rsidRPr="00EF3108">
        <w:rPr>
          <w:rFonts w:ascii="Times New Roman" w:eastAsia="Times New Roman" w:hAnsi="Times New Roman"/>
          <w:sz w:val="20"/>
          <w:szCs w:val="20"/>
        </w:rPr>
        <w:t>Обладнання для місцевої автоматизованої систе</w:t>
      </w:r>
      <w:r w:rsidR="00EF3108">
        <w:rPr>
          <w:rFonts w:ascii="Times New Roman" w:eastAsia="Times New Roman" w:hAnsi="Times New Roman"/>
          <w:sz w:val="20"/>
          <w:szCs w:val="20"/>
        </w:rPr>
        <w:t xml:space="preserve">ми централізованого оповіщення  </w:t>
      </w:r>
      <w:r w:rsidR="00EF3108" w:rsidRPr="00EF3108">
        <w:rPr>
          <w:rFonts w:ascii="Times New Roman" w:eastAsia="Times New Roman" w:hAnsi="Times New Roman"/>
          <w:sz w:val="20"/>
          <w:szCs w:val="20"/>
        </w:rPr>
        <w:t>(типу КГО-02/БОУ-200)</w:t>
      </w:r>
      <w:r w:rsidR="00EF3108">
        <w:rPr>
          <w:rFonts w:ascii="Times New Roman" w:eastAsia="Times New Roman" w:hAnsi="Times New Roman"/>
          <w:sz w:val="20"/>
          <w:szCs w:val="20"/>
        </w:rPr>
        <w:t>»</w:t>
      </w:r>
      <w:r>
        <w:rPr>
          <w:rFonts w:ascii="Times New Roman" w:eastAsia="Times New Roman" w:hAnsi="Times New Roman"/>
          <w:sz w:val="20"/>
          <w:szCs w:val="20"/>
        </w:rPr>
        <w:t>.</w:t>
      </w:r>
    </w:p>
    <w:p w:rsidR="002409F6" w:rsidRPr="002409F6" w:rsidRDefault="002409F6" w:rsidP="002409F6">
      <w:pPr>
        <w:spacing w:after="0" w:line="240" w:lineRule="auto"/>
        <w:ind w:firstLine="708"/>
        <w:contextualSpacing/>
        <w:jc w:val="both"/>
        <w:rPr>
          <w:rFonts w:ascii="Times New Roman" w:eastAsiaTheme="minorHAnsi" w:hAnsi="Times New Roman"/>
          <w:b/>
          <w:sz w:val="20"/>
          <w:szCs w:val="20"/>
          <w:lang w:eastAsia="en-US"/>
        </w:rPr>
      </w:pPr>
      <w:r w:rsidRPr="002409F6">
        <w:rPr>
          <w:rFonts w:ascii="Times New Roman" w:eastAsiaTheme="minorHAnsi" w:hAnsi="Times New Roman"/>
          <w:b/>
          <w:sz w:val="20"/>
          <w:szCs w:val="20"/>
          <w:lang w:eastAsia="en-US"/>
        </w:rPr>
        <w:t xml:space="preserve">Вимоги до обладнання: </w:t>
      </w:r>
    </w:p>
    <w:p w:rsidR="002409F6" w:rsidRPr="002409F6" w:rsidRDefault="002409F6" w:rsidP="002409F6">
      <w:pPr>
        <w:spacing w:after="0" w:line="240" w:lineRule="auto"/>
        <w:contextualSpacing/>
        <w:jc w:val="right"/>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Таблиця 1</w:t>
      </w:r>
    </w:p>
    <w:tbl>
      <w:tblPr>
        <w:tblW w:w="5000" w:type="pct"/>
        <w:tblInd w:w="-113" w:type="dxa"/>
        <w:tblLayout w:type="fixed"/>
        <w:tblLook w:val="04A0" w:firstRow="1" w:lastRow="0" w:firstColumn="1" w:lastColumn="0" w:noHBand="0" w:noVBand="1"/>
      </w:tblPr>
      <w:tblGrid>
        <w:gridCol w:w="621"/>
        <w:gridCol w:w="2641"/>
        <w:gridCol w:w="1342"/>
        <w:gridCol w:w="4967"/>
      </w:tblGrid>
      <w:tr w:rsidR="002409F6" w:rsidRPr="002409F6" w:rsidTr="00DB7804">
        <w:trPr>
          <w:trHeight w:val="502"/>
        </w:trPr>
        <w:tc>
          <w:tcPr>
            <w:tcW w:w="607" w:type="dxa"/>
            <w:tcBorders>
              <w:top w:val="single" w:sz="4" w:space="0" w:color="000000"/>
              <w:left w:val="single" w:sz="4" w:space="0" w:color="000000"/>
              <w:bottom w:val="single" w:sz="4" w:space="0" w:color="000000"/>
            </w:tcBorders>
          </w:tcPr>
          <w:p w:rsidR="002409F6" w:rsidRPr="002409F6" w:rsidRDefault="002409F6" w:rsidP="002409F6">
            <w:pPr>
              <w:widowControl w:val="0"/>
              <w:spacing w:after="0" w:line="240" w:lineRule="auto"/>
              <w:contextualSpacing/>
              <w:jc w:val="center"/>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 п/</w:t>
            </w:r>
            <w:proofErr w:type="spellStart"/>
            <w:r w:rsidRPr="002409F6">
              <w:rPr>
                <w:rFonts w:ascii="Times New Roman" w:eastAsiaTheme="minorHAnsi" w:hAnsi="Times New Roman"/>
                <w:sz w:val="20"/>
                <w:szCs w:val="20"/>
                <w:lang w:eastAsia="en-US"/>
              </w:rPr>
              <w:t>п</w:t>
            </w:r>
            <w:proofErr w:type="spellEnd"/>
          </w:p>
        </w:tc>
        <w:tc>
          <w:tcPr>
            <w:tcW w:w="2581" w:type="dxa"/>
            <w:tcBorders>
              <w:top w:val="single" w:sz="4" w:space="0" w:color="000000"/>
              <w:left w:val="single" w:sz="4" w:space="0" w:color="000000"/>
              <w:bottom w:val="single" w:sz="4" w:space="0" w:color="000000"/>
            </w:tcBorders>
          </w:tcPr>
          <w:p w:rsidR="002409F6" w:rsidRPr="002409F6" w:rsidRDefault="002409F6" w:rsidP="002409F6">
            <w:pPr>
              <w:widowControl w:val="0"/>
              <w:spacing w:after="0" w:line="240" w:lineRule="auto"/>
              <w:contextualSpacing/>
              <w:jc w:val="center"/>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Найменування</w:t>
            </w:r>
          </w:p>
        </w:tc>
        <w:tc>
          <w:tcPr>
            <w:tcW w:w="1312" w:type="dxa"/>
            <w:tcBorders>
              <w:top w:val="single" w:sz="4" w:space="0" w:color="000000"/>
              <w:left w:val="single" w:sz="4" w:space="0" w:color="000000"/>
              <w:bottom w:val="single" w:sz="4" w:space="0" w:color="000000"/>
            </w:tcBorders>
          </w:tcPr>
          <w:p w:rsidR="002409F6" w:rsidRPr="002409F6" w:rsidRDefault="002409F6" w:rsidP="002409F6">
            <w:pPr>
              <w:widowControl w:val="0"/>
              <w:spacing w:after="0" w:line="240" w:lineRule="auto"/>
              <w:contextualSpacing/>
              <w:jc w:val="center"/>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 xml:space="preserve">Кількість,  </w:t>
            </w:r>
            <w:proofErr w:type="spellStart"/>
            <w:r w:rsidRPr="002409F6">
              <w:rPr>
                <w:rFonts w:ascii="Times New Roman" w:eastAsiaTheme="minorHAnsi" w:hAnsi="Times New Roman"/>
                <w:sz w:val="20"/>
                <w:szCs w:val="20"/>
                <w:lang w:eastAsia="en-US"/>
              </w:rPr>
              <w:t>компл</w:t>
            </w:r>
            <w:proofErr w:type="spellEnd"/>
            <w:r w:rsidRPr="002409F6">
              <w:rPr>
                <w:rFonts w:ascii="Times New Roman" w:eastAsiaTheme="minorHAnsi" w:hAnsi="Times New Roman"/>
                <w:sz w:val="20"/>
                <w:szCs w:val="20"/>
                <w:lang w:eastAsia="en-US"/>
              </w:rPr>
              <w:t>.</w:t>
            </w:r>
          </w:p>
        </w:tc>
        <w:tc>
          <w:tcPr>
            <w:tcW w:w="4854" w:type="dxa"/>
            <w:tcBorders>
              <w:top w:val="single" w:sz="4" w:space="0" w:color="000000"/>
              <w:left w:val="single" w:sz="4" w:space="0" w:color="000000"/>
              <w:bottom w:val="single" w:sz="4" w:space="0" w:color="000000"/>
              <w:right w:val="single" w:sz="4" w:space="0" w:color="000000"/>
            </w:tcBorders>
          </w:tcPr>
          <w:p w:rsidR="002409F6" w:rsidRPr="002409F6" w:rsidRDefault="002409F6" w:rsidP="002409F6">
            <w:pPr>
              <w:widowControl w:val="0"/>
              <w:spacing w:after="0" w:line="240" w:lineRule="auto"/>
              <w:contextualSpacing/>
              <w:jc w:val="center"/>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Склад комплекту</w:t>
            </w:r>
          </w:p>
        </w:tc>
      </w:tr>
      <w:tr w:rsidR="002409F6" w:rsidRPr="002409F6" w:rsidTr="00DB7804">
        <w:tc>
          <w:tcPr>
            <w:tcW w:w="607" w:type="dxa"/>
            <w:tcBorders>
              <w:top w:val="single" w:sz="4" w:space="0" w:color="000000"/>
              <w:left w:val="single" w:sz="4" w:space="0" w:color="000000"/>
              <w:bottom w:val="single" w:sz="4" w:space="0" w:color="000000"/>
            </w:tcBorders>
          </w:tcPr>
          <w:p w:rsidR="002409F6" w:rsidRPr="002409F6" w:rsidRDefault="002409F6" w:rsidP="002409F6">
            <w:pPr>
              <w:widowControl w:val="0"/>
              <w:spacing w:after="0" w:line="240" w:lineRule="auto"/>
              <w:contextualSpacing/>
              <w:jc w:val="center"/>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1</w:t>
            </w:r>
          </w:p>
        </w:tc>
        <w:tc>
          <w:tcPr>
            <w:tcW w:w="2581" w:type="dxa"/>
            <w:tcBorders>
              <w:top w:val="single" w:sz="4" w:space="0" w:color="000000"/>
              <w:left w:val="single" w:sz="4" w:space="0" w:color="000000"/>
              <w:bottom w:val="single" w:sz="4" w:space="0" w:color="000000"/>
            </w:tcBorders>
          </w:tcPr>
          <w:p w:rsidR="002409F6" w:rsidRPr="002409F6" w:rsidRDefault="002409F6" w:rsidP="002409F6">
            <w:pPr>
              <w:widowControl w:val="0"/>
              <w:spacing w:after="0" w:line="240" w:lineRule="auto"/>
              <w:contextualSpacing/>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 xml:space="preserve">Обладнання для місцевої автоматизованої системи централізованого оповіщення </w:t>
            </w:r>
          </w:p>
          <w:p w:rsidR="002409F6" w:rsidRPr="002409F6" w:rsidRDefault="002409F6" w:rsidP="002409F6">
            <w:pPr>
              <w:widowControl w:val="0"/>
              <w:spacing w:after="0" w:line="240" w:lineRule="auto"/>
              <w:contextualSpacing/>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(типу КГО-02/БОУ-200)</w:t>
            </w:r>
          </w:p>
        </w:tc>
        <w:tc>
          <w:tcPr>
            <w:tcW w:w="1312" w:type="dxa"/>
            <w:tcBorders>
              <w:top w:val="single" w:sz="4" w:space="0" w:color="000000"/>
              <w:left w:val="single" w:sz="4" w:space="0" w:color="000000"/>
              <w:bottom w:val="single" w:sz="4" w:space="0" w:color="000000"/>
            </w:tcBorders>
          </w:tcPr>
          <w:p w:rsidR="002409F6" w:rsidRPr="002409F6" w:rsidRDefault="002409F6" w:rsidP="002409F6">
            <w:pPr>
              <w:widowControl w:val="0"/>
              <w:spacing w:after="0" w:line="240" w:lineRule="auto"/>
              <w:contextualSpacing/>
              <w:jc w:val="center"/>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12</w:t>
            </w:r>
          </w:p>
        </w:tc>
        <w:tc>
          <w:tcPr>
            <w:tcW w:w="4854" w:type="dxa"/>
            <w:tcBorders>
              <w:top w:val="single" w:sz="4" w:space="0" w:color="000000"/>
              <w:left w:val="single" w:sz="4" w:space="0" w:color="000000"/>
              <w:bottom w:val="single" w:sz="4" w:space="0" w:color="000000"/>
              <w:right w:val="single" w:sz="4" w:space="0" w:color="000000"/>
            </w:tcBorders>
          </w:tcPr>
          <w:p w:rsidR="002409F6" w:rsidRPr="002409F6" w:rsidRDefault="002409F6" w:rsidP="002409F6">
            <w:pPr>
              <w:widowControl w:val="0"/>
              <w:spacing w:after="0" w:line="240" w:lineRule="auto"/>
              <w:contextualSpacing/>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 електронний блок  – 1 од.</w:t>
            </w:r>
          </w:p>
          <w:p w:rsidR="002409F6" w:rsidRPr="002409F6" w:rsidRDefault="002409F6" w:rsidP="002409F6">
            <w:pPr>
              <w:widowControl w:val="0"/>
              <w:spacing w:after="0" w:line="240" w:lineRule="auto"/>
              <w:contextualSpacing/>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 гучномовці загальною потужністю не менше 200 Вт.</w:t>
            </w:r>
          </w:p>
        </w:tc>
      </w:tr>
    </w:tbl>
    <w:p w:rsidR="002409F6" w:rsidRPr="002409F6" w:rsidRDefault="002409F6" w:rsidP="002409F6">
      <w:pPr>
        <w:spacing w:after="0" w:line="240" w:lineRule="auto"/>
        <w:ind w:firstLine="708"/>
        <w:contextualSpacing/>
        <w:rPr>
          <w:rFonts w:ascii="Times New Roman" w:eastAsiaTheme="minorHAnsi" w:hAnsi="Times New Roman"/>
          <w:i/>
          <w:sz w:val="20"/>
          <w:szCs w:val="20"/>
          <w:highlight w:val="yellow"/>
          <w:lang w:eastAsia="en-US"/>
        </w:rPr>
      </w:pPr>
    </w:p>
    <w:p w:rsidR="002409F6" w:rsidRPr="002409F6" w:rsidRDefault="002409F6" w:rsidP="002409F6">
      <w:pPr>
        <w:spacing w:after="0" w:line="240" w:lineRule="auto"/>
        <w:ind w:firstLine="709"/>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1. Обладнання призначене для озвучення відкритих територій з житловою та промисловою забудовою, відкритих місць </w:t>
      </w:r>
      <w:r w:rsidRPr="002409F6">
        <w:rPr>
          <w:rFonts w:ascii="Times New Roman" w:eastAsiaTheme="minorHAnsi" w:hAnsi="Times New Roman"/>
          <w:spacing w:val="-4"/>
          <w:kern w:val="2"/>
          <w:sz w:val="20"/>
          <w:szCs w:val="20"/>
          <w:lang w:eastAsia="en-US"/>
        </w:rPr>
        <w:t xml:space="preserve">з масовим перебуванням людей. </w:t>
      </w:r>
    </w:p>
    <w:p w:rsidR="002409F6" w:rsidRPr="002409F6" w:rsidRDefault="002409F6" w:rsidP="002409F6">
      <w:pPr>
        <w:spacing w:after="0" w:line="240" w:lineRule="auto"/>
        <w:ind w:firstLine="709"/>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2. Основні технічні вимоги. </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2.1. Обладнання  має керуватися: </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з автоматизованого робочого місця (надалі - АРМ) територіальної системи оповіщення, встановленого на пункті управління Львівської обласної військової адміністрації;</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spacing w:val="-10"/>
          <w:kern w:val="2"/>
          <w:sz w:val="20"/>
          <w:szCs w:val="20"/>
          <w:lang w:eastAsia="en-US"/>
        </w:rPr>
        <w:t>- з АРМ місцевої системи оповіщення, встановленого в  територіальній громади та підключеного до ТАСЦО Львівської області;</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у ручному режимі безпосередньо з місця встановлення Обладнання.</w:t>
      </w:r>
    </w:p>
    <w:p w:rsidR="002409F6" w:rsidRPr="002409F6" w:rsidRDefault="002409F6" w:rsidP="002409F6">
      <w:pPr>
        <w:spacing w:after="0" w:line="240" w:lineRule="auto"/>
        <w:ind w:firstLine="709"/>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2.2. </w:t>
      </w:r>
      <w:r w:rsidRPr="002409F6">
        <w:rPr>
          <w:rFonts w:ascii="Times New Roman" w:eastAsiaTheme="minorHAnsi" w:hAnsi="Times New Roman"/>
          <w:spacing w:val="-4"/>
          <w:kern w:val="2"/>
          <w:sz w:val="20"/>
          <w:szCs w:val="20"/>
          <w:lang w:eastAsia="en-US"/>
        </w:rPr>
        <w:t xml:space="preserve">У керуванні </w:t>
      </w:r>
      <w:r w:rsidRPr="002409F6">
        <w:rPr>
          <w:rFonts w:ascii="Times New Roman" w:eastAsiaTheme="minorHAnsi" w:hAnsi="Times New Roman"/>
          <w:kern w:val="2"/>
          <w:sz w:val="20"/>
          <w:szCs w:val="20"/>
          <w:lang w:eastAsia="en-US"/>
        </w:rPr>
        <w:t>Обладнання</w:t>
      </w:r>
      <w:r w:rsidRPr="002409F6">
        <w:rPr>
          <w:rFonts w:ascii="Times New Roman" w:eastAsiaTheme="minorHAnsi" w:hAnsi="Times New Roman"/>
          <w:spacing w:val="-4"/>
          <w:kern w:val="2"/>
          <w:sz w:val="20"/>
          <w:szCs w:val="20"/>
          <w:lang w:eastAsia="en-US"/>
        </w:rPr>
        <w:t xml:space="preserve"> має бути забезпечено пріоритет команд управління, які надходять</w:t>
      </w:r>
      <w:r w:rsidRPr="002409F6">
        <w:rPr>
          <w:rFonts w:ascii="Times New Roman" w:eastAsiaTheme="minorHAnsi" w:hAnsi="Times New Roman"/>
          <w:kern w:val="2"/>
          <w:sz w:val="20"/>
          <w:szCs w:val="20"/>
          <w:lang w:eastAsia="en-US"/>
        </w:rPr>
        <w:t xml:space="preserve"> від АРМ територіальної системи оповіщення.</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2.3. Обладнання повинен забезпечувати:</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 - можливість під’єднання до центру керування для отримання та передачі команд і сигналів з використанням наступних каналів зв’язку:</w:t>
      </w:r>
    </w:p>
    <w:p w:rsidR="002409F6" w:rsidRPr="002409F6" w:rsidRDefault="002409F6" w:rsidP="002409F6">
      <w:pPr>
        <w:numPr>
          <w:ilvl w:val="0"/>
          <w:numId w:val="6"/>
        </w:numPr>
        <w:suppressAutoHyphens/>
        <w:spacing w:after="0" w:line="240" w:lineRule="auto"/>
        <w:ind w:left="1134" w:hanging="283"/>
        <w:jc w:val="both"/>
        <w:rPr>
          <w:rFonts w:ascii="Times New Roman" w:eastAsiaTheme="minorHAnsi" w:hAnsi="Times New Roman"/>
          <w:sz w:val="20"/>
          <w:szCs w:val="20"/>
          <w:lang w:eastAsia="en-US"/>
        </w:rPr>
      </w:pPr>
      <w:r w:rsidRPr="002409F6">
        <w:rPr>
          <w:rFonts w:ascii="Times New Roman" w:eastAsiaTheme="minorHAnsi" w:hAnsi="Times New Roman"/>
          <w:spacing w:val="2"/>
          <w:kern w:val="2"/>
          <w:sz w:val="20"/>
          <w:szCs w:val="20"/>
          <w:lang w:eastAsia="en-US"/>
        </w:rPr>
        <w:t xml:space="preserve">мережа </w:t>
      </w:r>
      <w:r w:rsidRPr="002409F6">
        <w:rPr>
          <w:rFonts w:ascii="Times New Roman" w:eastAsiaTheme="minorHAnsi" w:hAnsi="Times New Roman"/>
          <w:kern w:val="2"/>
          <w:sz w:val="20"/>
          <w:szCs w:val="20"/>
          <w:lang w:eastAsia="en-US"/>
        </w:rPr>
        <w:t>мобільного зв’язку стандарту GSM (4G, 3G);</w:t>
      </w:r>
    </w:p>
    <w:p w:rsidR="002409F6" w:rsidRPr="002409F6" w:rsidRDefault="002409F6" w:rsidP="002409F6">
      <w:pPr>
        <w:numPr>
          <w:ilvl w:val="0"/>
          <w:numId w:val="7"/>
        </w:numPr>
        <w:suppressAutoHyphens/>
        <w:spacing w:after="0" w:line="240" w:lineRule="auto"/>
        <w:ind w:left="1134" w:hanging="283"/>
        <w:jc w:val="both"/>
        <w:rPr>
          <w:rFonts w:ascii="Times New Roman" w:eastAsiaTheme="minorHAnsi" w:hAnsi="Times New Roman"/>
          <w:sz w:val="20"/>
          <w:szCs w:val="20"/>
          <w:lang w:eastAsia="en-US"/>
        </w:rPr>
      </w:pPr>
      <w:bookmarkStart w:id="2" w:name="__DdeLink__3363_2836814816"/>
      <w:proofErr w:type="spellStart"/>
      <w:r w:rsidRPr="002409F6">
        <w:rPr>
          <w:rFonts w:ascii="Times New Roman" w:eastAsiaTheme="minorHAnsi" w:hAnsi="Times New Roman"/>
          <w:kern w:val="2"/>
          <w:sz w:val="20"/>
          <w:szCs w:val="20"/>
          <w:lang w:eastAsia="en-US"/>
        </w:rPr>
        <w:t>проводова</w:t>
      </w:r>
      <w:proofErr w:type="spellEnd"/>
      <w:r w:rsidRPr="002409F6">
        <w:rPr>
          <w:rFonts w:ascii="Times New Roman" w:eastAsiaTheme="minorHAnsi" w:hAnsi="Times New Roman"/>
          <w:kern w:val="2"/>
          <w:sz w:val="20"/>
          <w:szCs w:val="20"/>
          <w:lang w:eastAsia="en-US"/>
        </w:rPr>
        <w:t xml:space="preserve"> мережа </w:t>
      </w:r>
      <w:proofErr w:type="spellStart"/>
      <w:r w:rsidRPr="002409F6">
        <w:rPr>
          <w:rFonts w:ascii="Times New Roman" w:eastAsiaTheme="minorHAnsi" w:hAnsi="Times New Roman"/>
          <w:kern w:val="2"/>
          <w:sz w:val="20"/>
          <w:szCs w:val="20"/>
          <w:lang w:eastAsia="en-US"/>
        </w:rPr>
        <w:t>Ethernet</w:t>
      </w:r>
      <w:proofErr w:type="spellEnd"/>
      <w:r w:rsidRPr="002409F6">
        <w:rPr>
          <w:rFonts w:ascii="Times New Roman" w:eastAsiaTheme="minorHAnsi" w:hAnsi="Times New Roman"/>
          <w:kern w:val="2"/>
          <w:sz w:val="20"/>
          <w:szCs w:val="20"/>
          <w:lang w:eastAsia="en-US"/>
        </w:rPr>
        <w:t xml:space="preserve"> (VPN);</w:t>
      </w:r>
      <w:bookmarkEnd w:id="2"/>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 зміну режиму роботи (запуск/зупинка відтворення звукового сигналу) за командою, що надходить з АРМ територіальної та місцевої системи оповіщення;</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 час автоматичного приведення в режим </w:t>
      </w:r>
      <w:proofErr w:type="spellStart"/>
      <w:r w:rsidRPr="002409F6">
        <w:rPr>
          <w:rFonts w:ascii="Times New Roman" w:eastAsiaTheme="minorHAnsi" w:hAnsi="Times New Roman"/>
          <w:kern w:val="2"/>
          <w:sz w:val="20"/>
          <w:szCs w:val="20"/>
          <w:lang w:eastAsia="en-US"/>
        </w:rPr>
        <w:t>функціювання</w:t>
      </w:r>
      <w:proofErr w:type="spellEnd"/>
      <w:r w:rsidRPr="002409F6">
        <w:rPr>
          <w:rFonts w:ascii="Times New Roman" w:eastAsiaTheme="minorHAnsi" w:hAnsi="Times New Roman"/>
          <w:kern w:val="2"/>
          <w:sz w:val="20"/>
          <w:szCs w:val="20"/>
          <w:lang w:eastAsia="en-US"/>
        </w:rPr>
        <w:t xml:space="preserve"> за призначенням повинен становити не більше 3 секунд з моменту надходження відповідної команди з АРМ територіальної або місцевої системи оповіщення;</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постійний моніторинг стану каналів зв’язку та автоматичний вибір одного з доступних каналів в якості основного при втраті з’єднання по каналу, що використовується відповідно до встановленої пріоритетності каналів;</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 підсилення і трансляцію мовних повідомлень та спеціальних сигналів</w:t>
      </w:r>
      <w:r w:rsidRPr="002409F6">
        <w:rPr>
          <w:rFonts w:ascii="Times New Roman" w:eastAsiaTheme="minorHAnsi" w:hAnsi="Times New Roman"/>
          <w:spacing w:val="-6"/>
          <w:sz w:val="20"/>
          <w:szCs w:val="20"/>
          <w:lang w:eastAsia="en-US"/>
        </w:rPr>
        <w:t>:</w:t>
      </w:r>
    </w:p>
    <w:p w:rsidR="002409F6" w:rsidRPr="002409F6" w:rsidRDefault="002409F6" w:rsidP="002409F6">
      <w:pPr>
        <w:widowControl w:val="0"/>
        <w:numPr>
          <w:ilvl w:val="0"/>
          <w:numId w:val="8"/>
        </w:numPr>
        <w:suppressAutoHyphens/>
        <w:spacing w:after="0" w:line="240" w:lineRule="auto"/>
        <w:ind w:left="0" w:firstLine="227"/>
        <w:jc w:val="both"/>
        <w:rPr>
          <w:rFonts w:ascii="Times New Roman" w:eastAsiaTheme="minorHAnsi" w:hAnsi="Times New Roman"/>
          <w:sz w:val="20"/>
          <w:szCs w:val="20"/>
          <w:lang w:eastAsia="en-US"/>
        </w:rPr>
      </w:pPr>
      <w:r w:rsidRPr="002409F6">
        <w:rPr>
          <w:rFonts w:ascii="Times New Roman" w:eastAsiaTheme="minorHAnsi" w:hAnsi="Times New Roman"/>
          <w:spacing w:val="2"/>
          <w:sz w:val="20"/>
          <w:szCs w:val="20"/>
          <w:lang w:eastAsia="en-US"/>
        </w:rPr>
        <w:t xml:space="preserve">озвучення </w:t>
      </w:r>
      <w:r w:rsidRPr="002409F6">
        <w:rPr>
          <w:rFonts w:ascii="Times New Roman" w:eastAsiaTheme="minorHAnsi" w:hAnsi="Times New Roman"/>
          <w:sz w:val="20"/>
          <w:szCs w:val="20"/>
          <w:lang w:eastAsia="en-US"/>
        </w:rPr>
        <w:t>звукових сигналів та мовних повідомлень у форматах *</w:t>
      </w:r>
      <w:proofErr w:type="spellStart"/>
      <w:r w:rsidRPr="002409F6">
        <w:rPr>
          <w:rFonts w:ascii="Times New Roman" w:eastAsiaTheme="minorHAnsi" w:hAnsi="Times New Roman"/>
          <w:sz w:val="20"/>
          <w:szCs w:val="20"/>
          <w:lang w:eastAsia="en-US"/>
        </w:rPr>
        <w:t>.wav</w:t>
      </w:r>
      <w:proofErr w:type="spellEnd"/>
      <w:r w:rsidRPr="002409F6">
        <w:rPr>
          <w:rFonts w:ascii="Times New Roman" w:eastAsiaTheme="minorHAnsi" w:hAnsi="Times New Roman"/>
          <w:sz w:val="20"/>
          <w:szCs w:val="20"/>
          <w:lang w:eastAsia="en-US"/>
        </w:rPr>
        <w:t xml:space="preserve"> , *.mp3 що зберігаються в модулі внутрішньої пам’яті (не менше 16 повідомлень)  </w:t>
      </w:r>
      <w:r w:rsidRPr="002409F6">
        <w:rPr>
          <w:rFonts w:ascii="Times New Roman" w:eastAsiaTheme="minorHAnsi" w:hAnsi="Times New Roman"/>
          <w:spacing w:val="2"/>
          <w:sz w:val="20"/>
          <w:szCs w:val="20"/>
          <w:lang w:eastAsia="en-US"/>
        </w:rPr>
        <w:t>шляхом їх включення дистанційно</w:t>
      </w:r>
      <w:r w:rsidRPr="002409F6">
        <w:rPr>
          <w:rFonts w:ascii="Times New Roman" w:eastAsiaTheme="minorHAnsi" w:hAnsi="Times New Roman"/>
          <w:sz w:val="20"/>
          <w:szCs w:val="20"/>
          <w:lang w:eastAsia="en-US"/>
        </w:rPr>
        <w:t xml:space="preserve"> з АРМ територіальної та місцевої системи оповіщення</w:t>
      </w:r>
      <w:r w:rsidRPr="002409F6">
        <w:rPr>
          <w:rFonts w:ascii="Times New Roman" w:eastAsiaTheme="minorHAnsi" w:hAnsi="Times New Roman"/>
          <w:spacing w:val="2"/>
          <w:sz w:val="20"/>
          <w:szCs w:val="20"/>
          <w:lang w:eastAsia="en-US"/>
        </w:rPr>
        <w:t>;</w:t>
      </w:r>
    </w:p>
    <w:p w:rsidR="002409F6" w:rsidRPr="002409F6" w:rsidRDefault="002409F6" w:rsidP="002409F6">
      <w:pPr>
        <w:widowControl w:val="0"/>
        <w:numPr>
          <w:ilvl w:val="0"/>
          <w:numId w:val="8"/>
        </w:numPr>
        <w:suppressAutoHyphens/>
        <w:spacing w:after="0" w:line="240" w:lineRule="auto"/>
        <w:ind w:left="0" w:firstLine="227"/>
        <w:jc w:val="both"/>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озвучення звукових сигналів та мовних повідомлень у форматах *</w:t>
      </w:r>
      <w:proofErr w:type="spellStart"/>
      <w:r w:rsidRPr="002409F6">
        <w:rPr>
          <w:rFonts w:ascii="Times New Roman" w:eastAsiaTheme="minorHAnsi" w:hAnsi="Times New Roman"/>
          <w:sz w:val="20"/>
          <w:szCs w:val="20"/>
          <w:lang w:eastAsia="en-US"/>
        </w:rPr>
        <w:t>.wav</w:t>
      </w:r>
      <w:proofErr w:type="spellEnd"/>
      <w:r w:rsidRPr="002409F6">
        <w:rPr>
          <w:rFonts w:ascii="Times New Roman" w:eastAsiaTheme="minorHAnsi" w:hAnsi="Times New Roman"/>
          <w:sz w:val="20"/>
          <w:szCs w:val="20"/>
          <w:lang w:eastAsia="en-US"/>
        </w:rPr>
        <w:t xml:space="preserve"> , *.mp3, після отримання їх дистанційно через канали зв’язку від АРМ територіальної та місцевої системи оповіщення та збереження в модулі внутрішньої пам'яті;</w:t>
      </w:r>
    </w:p>
    <w:p w:rsidR="002409F6" w:rsidRPr="002409F6" w:rsidRDefault="002409F6" w:rsidP="002409F6">
      <w:pPr>
        <w:widowControl w:val="0"/>
        <w:numPr>
          <w:ilvl w:val="0"/>
          <w:numId w:val="8"/>
        </w:numPr>
        <w:suppressAutoHyphens/>
        <w:spacing w:after="0" w:line="240" w:lineRule="auto"/>
        <w:ind w:left="0" w:firstLine="227"/>
        <w:jc w:val="both"/>
        <w:rPr>
          <w:rFonts w:ascii="Times New Roman" w:eastAsiaTheme="minorHAnsi" w:hAnsi="Times New Roman"/>
          <w:sz w:val="20"/>
          <w:szCs w:val="20"/>
          <w:lang w:eastAsia="en-US"/>
        </w:rPr>
      </w:pPr>
      <w:r w:rsidRPr="002409F6">
        <w:rPr>
          <w:rFonts w:ascii="Times New Roman" w:eastAsiaTheme="minorHAnsi" w:hAnsi="Times New Roman"/>
          <w:sz w:val="20"/>
          <w:szCs w:val="20"/>
          <w:lang w:eastAsia="en-US"/>
        </w:rPr>
        <w:t>озвучення звукових сигналів (мовних повідомлень) у форматах *</w:t>
      </w:r>
      <w:proofErr w:type="spellStart"/>
      <w:r w:rsidRPr="002409F6">
        <w:rPr>
          <w:rFonts w:ascii="Times New Roman" w:eastAsiaTheme="minorHAnsi" w:hAnsi="Times New Roman"/>
          <w:sz w:val="20"/>
          <w:szCs w:val="20"/>
          <w:lang w:eastAsia="en-US"/>
        </w:rPr>
        <w:t>.wav</w:t>
      </w:r>
      <w:proofErr w:type="spellEnd"/>
      <w:r w:rsidRPr="002409F6">
        <w:rPr>
          <w:rFonts w:ascii="Times New Roman" w:eastAsiaTheme="minorHAnsi" w:hAnsi="Times New Roman"/>
          <w:sz w:val="20"/>
          <w:szCs w:val="20"/>
          <w:lang w:eastAsia="en-US"/>
        </w:rPr>
        <w:t xml:space="preserve"> , *.mp3, що зберігаються в модулі зовнішньої пам’яті через вбудований МР3 програвач (локально в ручному режимі);</w:t>
      </w:r>
    </w:p>
    <w:p w:rsidR="002409F6" w:rsidRPr="002409F6" w:rsidRDefault="002409F6" w:rsidP="002409F6">
      <w:pPr>
        <w:numPr>
          <w:ilvl w:val="0"/>
          <w:numId w:val="8"/>
        </w:numPr>
        <w:suppressAutoHyphens/>
        <w:spacing w:after="0" w:line="240" w:lineRule="auto"/>
        <w:ind w:left="0" w:firstLine="227"/>
        <w:jc w:val="both"/>
        <w:rPr>
          <w:rFonts w:ascii="Times New Roman" w:eastAsiaTheme="minorHAnsi" w:hAnsi="Times New Roman"/>
          <w:sz w:val="20"/>
          <w:szCs w:val="20"/>
          <w:lang w:eastAsia="en-US"/>
        </w:rPr>
      </w:pPr>
      <w:r w:rsidRPr="002409F6">
        <w:rPr>
          <w:rFonts w:ascii="Times New Roman" w:eastAsiaTheme="minorHAnsi" w:hAnsi="Times New Roman"/>
          <w:spacing w:val="-6"/>
          <w:kern w:val="2"/>
          <w:sz w:val="20"/>
          <w:szCs w:val="20"/>
          <w:lang w:eastAsia="en-US"/>
        </w:rPr>
        <w:t xml:space="preserve">озвучення мовної інформації з використанням мікрофону </w:t>
      </w:r>
      <w:r w:rsidRPr="002409F6">
        <w:rPr>
          <w:rFonts w:ascii="Times New Roman" w:eastAsiaTheme="minorHAnsi" w:hAnsi="Times New Roman"/>
          <w:spacing w:val="-4"/>
          <w:kern w:val="2"/>
          <w:sz w:val="20"/>
          <w:szCs w:val="20"/>
          <w:lang w:eastAsia="en-US"/>
        </w:rPr>
        <w:t>(локально в ручному режимі);</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дистанційне приймання звукових сигналів  та мовних повідомлень у форматах *</w:t>
      </w:r>
      <w:proofErr w:type="spellStart"/>
      <w:r w:rsidRPr="002409F6">
        <w:rPr>
          <w:rFonts w:ascii="Times New Roman" w:eastAsiaTheme="minorHAnsi" w:hAnsi="Times New Roman"/>
          <w:kern w:val="2"/>
          <w:sz w:val="20"/>
          <w:szCs w:val="20"/>
          <w:lang w:eastAsia="en-US"/>
        </w:rPr>
        <w:t>.wav</w:t>
      </w:r>
      <w:proofErr w:type="spellEnd"/>
      <w:r w:rsidRPr="002409F6">
        <w:rPr>
          <w:rFonts w:ascii="Times New Roman" w:eastAsiaTheme="minorHAnsi" w:hAnsi="Times New Roman"/>
          <w:kern w:val="2"/>
          <w:sz w:val="20"/>
          <w:szCs w:val="20"/>
          <w:lang w:eastAsia="en-US"/>
        </w:rPr>
        <w:t xml:space="preserve"> , *.mp3 з АРМ територіальної та місцевої системи оповіщення, дистанційний запис їх у модуль внутрішньої пам’яті; </w:t>
      </w:r>
    </w:p>
    <w:p w:rsidR="002409F6" w:rsidRPr="002409F6" w:rsidRDefault="002409F6" w:rsidP="002409F6">
      <w:pPr>
        <w:tabs>
          <w:tab w:val="left" w:pos="720"/>
        </w:tabs>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формування та передачу підтвердження на АРМ територіальної та місцевої системи оповіщення про отримані команди управління, сигнали та інформацію, що надійшла;</w:t>
      </w:r>
    </w:p>
    <w:p w:rsidR="002409F6" w:rsidRPr="002409F6" w:rsidRDefault="002409F6" w:rsidP="002409F6">
      <w:pPr>
        <w:tabs>
          <w:tab w:val="left" w:pos="720"/>
        </w:tabs>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приймання звукових сигналів (мовних повідомлень) у форматах *</w:t>
      </w:r>
      <w:proofErr w:type="spellStart"/>
      <w:r w:rsidRPr="002409F6">
        <w:rPr>
          <w:rFonts w:ascii="Times New Roman" w:eastAsiaTheme="minorHAnsi" w:hAnsi="Times New Roman"/>
          <w:kern w:val="2"/>
          <w:sz w:val="20"/>
          <w:szCs w:val="20"/>
          <w:lang w:eastAsia="en-US"/>
        </w:rPr>
        <w:t>.wav</w:t>
      </w:r>
      <w:proofErr w:type="spellEnd"/>
      <w:r w:rsidRPr="002409F6">
        <w:rPr>
          <w:rFonts w:ascii="Times New Roman" w:eastAsiaTheme="minorHAnsi" w:hAnsi="Times New Roman"/>
          <w:kern w:val="2"/>
          <w:sz w:val="20"/>
          <w:szCs w:val="20"/>
          <w:lang w:eastAsia="en-US"/>
        </w:rPr>
        <w:t xml:space="preserve"> , *.mp3 з АРМ територіальної та місцевої системи оповіщення, запис їх у модуль внутрішньої пам’яті та їх озвучення; </w:t>
      </w:r>
    </w:p>
    <w:p w:rsidR="002409F6" w:rsidRPr="002409F6" w:rsidRDefault="002409F6" w:rsidP="002409F6">
      <w:pPr>
        <w:tabs>
          <w:tab w:val="left" w:pos="720"/>
        </w:tabs>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 автоматичне діагностування технічного стану та передачу </w:t>
      </w:r>
      <w:r w:rsidRPr="002409F6">
        <w:rPr>
          <w:rFonts w:ascii="Times New Roman" w:eastAsiaTheme="minorHAnsi" w:hAnsi="Times New Roman"/>
          <w:spacing w:val="-4"/>
          <w:kern w:val="2"/>
          <w:sz w:val="20"/>
          <w:szCs w:val="20"/>
          <w:lang w:eastAsia="en-US"/>
        </w:rPr>
        <w:t>на АРМ територіальної та місцевої системи оповіщення</w:t>
      </w:r>
      <w:r w:rsidRPr="002409F6">
        <w:rPr>
          <w:rFonts w:ascii="Times New Roman" w:eastAsiaTheme="minorHAnsi" w:hAnsi="Times New Roman"/>
          <w:kern w:val="2"/>
          <w:sz w:val="20"/>
          <w:szCs w:val="20"/>
          <w:lang w:eastAsia="en-US"/>
        </w:rPr>
        <w:t xml:space="preserve"> інформації </w:t>
      </w:r>
      <w:r w:rsidRPr="002409F6">
        <w:rPr>
          <w:rFonts w:ascii="Times New Roman" w:eastAsiaTheme="minorHAnsi" w:hAnsi="Times New Roman"/>
          <w:spacing w:val="-4"/>
          <w:kern w:val="2"/>
          <w:sz w:val="20"/>
          <w:szCs w:val="20"/>
          <w:lang w:eastAsia="en-US"/>
        </w:rPr>
        <w:t>про можливі несправності, зокрема:</w:t>
      </w:r>
    </w:p>
    <w:p w:rsidR="002409F6" w:rsidRPr="002409F6" w:rsidRDefault="002409F6" w:rsidP="002409F6">
      <w:pPr>
        <w:widowControl w:val="0"/>
        <w:numPr>
          <w:ilvl w:val="0"/>
          <w:numId w:val="9"/>
        </w:numPr>
        <w:suppressAutoHyphens/>
        <w:spacing w:after="0" w:line="240" w:lineRule="auto"/>
        <w:ind w:left="993" w:hanging="142"/>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наявність електроживлення 220В;</w:t>
      </w:r>
    </w:p>
    <w:p w:rsidR="002409F6" w:rsidRPr="002409F6" w:rsidRDefault="002409F6" w:rsidP="002409F6">
      <w:pPr>
        <w:widowControl w:val="0"/>
        <w:numPr>
          <w:ilvl w:val="0"/>
          <w:numId w:val="9"/>
        </w:numPr>
        <w:suppressAutoHyphens/>
        <w:spacing w:after="0" w:line="240" w:lineRule="auto"/>
        <w:ind w:left="993" w:hanging="142"/>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контроль працездатності каналів зв’язку </w:t>
      </w:r>
      <w:proofErr w:type="spellStart"/>
      <w:r w:rsidRPr="002409F6">
        <w:rPr>
          <w:rFonts w:ascii="Times New Roman" w:eastAsiaTheme="minorHAnsi" w:hAnsi="Times New Roman"/>
          <w:kern w:val="2"/>
          <w:sz w:val="20"/>
          <w:szCs w:val="20"/>
          <w:lang w:eastAsia="en-US"/>
        </w:rPr>
        <w:t>приймання-</w:t>
      </w:r>
      <w:proofErr w:type="spellEnd"/>
      <w:r w:rsidRPr="002409F6">
        <w:rPr>
          <w:rFonts w:ascii="Times New Roman" w:eastAsiaTheme="minorHAnsi" w:hAnsi="Times New Roman"/>
          <w:kern w:val="2"/>
          <w:sz w:val="20"/>
          <w:szCs w:val="20"/>
          <w:lang w:eastAsia="en-US"/>
        </w:rPr>
        <w:t xml:space="preserve"> передавання даних (не менше 2-х каналів). </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2.4. Час безперервної роботи:</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з автоматичним переключенням на джерело безперебійного живлення, призначене для забезпечення безперервної автономної роботи під час відсутності основного електроживлення протягом не менше 40 годин у черговому режимі та 0,5 години в режимі оповіщення;</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без переключення на джерело безперебійного живлення при наявності основного електроживлення – необмежено.</w:t>
      </w:r>
    </w:p>
    <w:p w:rsidR="002409F6" w:rsidRPr="002409F6" w:rsidRDefault="002409F6" w:rsidP="002409F6">
      <w:pPr>
        <w:spacing w:after="0" w:line="240" w:lineRule="auto"/>
        <w:ind w:firstLine="708"/>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2.5. Акустичні характеристики Обладнання:</w:t>
      </w:r>
    </w:p>
    <w:p w:rsidR="002409F6" w:rsidRPr="002409F6" w:rsidRDefault="002409F6" w:rsidP="002409F6">
      <w:pPr>
        <w:widowControl w:val="0"/>
        <w:spacing w:after="0" w:line="240" w:lineRule="auto"/>
        <w:rPr>
          <w:rFonts w:ascii="Times New Roman" w:eastAsiaTheme="minorHAnsi" w:hAnsi="Times New Roman"/>
          <w:b/>
          <w:bCs/>
          <w:sz w:val="20"/>
          <w:szCs w:val="20"/>
          <w:lang w:eastAsia="en-US"/>
        </w:rPr>
      </w:pPr>
      <w:r w:rsidRPr="002409F6">
        <w:rPr>
          <w:rFonts w:ascii="Times New Roman" w:eastAsiaTheme="minorHAnsi" w:hAnsi="Times New Roman"/>
          <w:kern w:val="2"/>
          <w:sz w:val="20"/>
          <w:szCs w:val="20"/>
          <w:lang w:eastAsia="en-US"/>
        </w:rPr>
        <w:t>Обладнання</w:t>
      </w:r>
      <w:r w:rsidRPr="002409F6">
        <w:rPr>
          <w:rFonts w:ascii="Times New Roman" w:eastAsiaTheme="minorHAnsi" w:hAnsi="Times New Roman"/>
          <w:b/>
          <w:bCs/>
          <w:kern w:val="2"/>
          <w:sz w:val="20"/>
          <w:szCs w:val="20"/>
          <w:lang w:eastAsia="en-US"/>
        </w:rPr>
        <w:t xml:space="preserve"> потужністю не менше 200 Вт:</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потужність акустичних систем не менше 200 Вт;</w:t>
      </w:r>
    </w:p>
    <w:p w:rsidR="002409F6" w:rsidRPr="002409F6" w:rsidRDefault="002409F6" w:rsidP="002409F6">
      <w:pPr>
        <w:spacing w:after="0" w:line="240" w:lineRule="auto"/>
        <w:ind w:firstLine="709"/>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номінальна потужність підсилювача низької частоти не менше 200 Вт.</w:t>
      </w:r>
    </w:p>
    <w:p w:rsidR="002409F6" w:rsidRPr="002409F6" w:rsidRDefault="002409F6" w:rsidP="002409F6">
      <w:pPr>
        <w:spacing w:after="0" w:line="240" w:lineRule="auto"/>
        <w:ind w:firstLine="709"/>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3. Особливості конструктивного виконання.</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3.1. Обладнання має складатися із силової частини (блоку управління, низькочастотних підсилювачів звуку, розміщених у металевій шафі навісного виконання загальною вагою не більше 30 кг) та необхідної кількості гучномовців відповідної потужності. </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Обладнання має бути забезпечений резервним джерелом електроживлення (акумуляторними батареями відповідної </w:t>
      </w:r>
      <w:r w:rsidRPr="002409F6">
        <w:rPr>
          <w:rFonts w:ascii="Times New Roman" w:eastAsiaTheme="minorHAnsi" w:hAnsi="Times New Roman"/>
          <w:color w:val="000000"/>
          <w:kern w:val="2"/>
          <w:sz w:val="20"/>
          <w:szCs w:val="20"/>
          <w:lang w:eastAsia="en-US"/>
        </w:rPr>
        <w:t>ємності</w:t>
      </w:r>
      <w:r w:rsidRPr="002409F6">
        <w:rPr>
          <w:rFonts w:ascii="Times New Roman" w:eastAsiaTheme="minorHAnsi" w:hAnsi="Times New Roman"/>
          <w:kern w:val="2"/>
          <w:sz w:val="20"/>
          <w:szCs w:val="20"/>
          <w:lang w:eastAsia="en-US"/>
        </w:rPr>
        <w:t>) та автоматичними зарядними пристроями, які мають забезпечувати зарядку акумуляторів до рівня 80% від їх максимальної місткості протягом не більше 4 годин.</w:t>
      </w:r>
    </w:p>
    <w:p w:rsidR="002409F6" w:rsidRPr="002409F6" w:rsidRDefault="002409F6" w:rsidP="002409F6">
      <w:pPr>
        <w:spacing w:after="0" w:line="240" w:lineRule="auto"/>
        <w:ind w:firstLine="708"/>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lastRenderedPageBreak/>
        <w:t xml:space="preserve">Конструкція шафи Обладнання має забезпечувати виключення </w:t>
      </w:r>
      <w:proofErr w:type="spellStart"/>
      <w:r w:rsidRPr="002409F6">
        <w:rPr>
          <w:rFonts w:ascii="Times New Roman" w:eastAsiaTheme="minorHAnsi" w:hAnsi="Times New Roman"/>
          <w:kern w:val="2"/>
          <w:sz w:val="20"/>
          <w:szCs w:val="20"/>
          <w:lang w:eastAsia="en-US"/>
        </w:rPr>
        <w:t>несанкційованого</w:t>
      </w:r>
      <w:proofErr w:type="spellEnd"/>
      <w:r w:rsidRPr="002409F6">
        <w:rPr>
          <w:rFonts w:ascii="Times New Roman" w:eastAsiaTheme="minorHAnsi" w:hAnsi="Times New Roman"/>
          <w:kern w:val="2"/>
          <w:sz w:val="20"/>
          <w:szCs w:val="20"/>
          <w:lang w:eastAsia="en-US"/>
        </w:rPr>
        <w:t xml:space="preserve"> доступу сторонніх осіб до блоку управління.</w:t>
      </w:r>
    </w:p>
    <w:p w:rsidR="002409F6" w:rsidRPr="002409F6" w:rsidRDefault="002409F6" w:rsidP="002409F6">
      <w:pPr>
        <w:spacing w:after="0" w:line="240" w:lineRule="auto"/>
        <w:ind w:firstLine="709"/>
        <w:jc w:val="both"/>
        <w:rPr>
          <w:rFonts w:ascii="Times New Roman" w:eastAsiaTheme="minorHAnsi" w:hAnsi="Times New Roman"/>
          <w:sz w:val="20"/>
          <w:szCs w:val="20"/>
          <w:lang w:eastAsia="en-US"/>
        </w:rPr>
      </w:pPr>
      <w:r w:rsidRPr="002409F6">
        <w:rPr>
          <w:rFonts w:ascii="Times New Roman" w:eastAsiaTheme="minorHAnsi" w:hAnsi="Times New Roman"/>
          <w:kern w:val="2"/>
          <w:sz w:val="20"/>
          <w:szCs w:val="20"/>
          <w:lang w:eastAsia="en-US"/>
        </w:rPr>
        <w:t xml:space="preserve">3.2. Робота обладнання </w:t>
      </w:r>
      <w:proofErr w:type="spellStart"/>
      <w:r w:rsidRPr="002409F6">
        <w:rPr>
          <w:rFonts w:ascii="Times New Roman" w:eastAsiaTheme="minorHAnsi" w:hAnsi="Times New Roman"/>
          <w:kern w:val="2"/>
          <w:sz w:val="20"/>
          <w:szCs w:val="20"/>
          <w:lang w:eastAsia="en-US"/>
        </w:rPr>
        <w:t>Обладнання</w:t>
      </w:r>
      <w:proofErr w:type="spellEnd"/>
      <w:r w:rsidRPr="002409F6">
        <w:rPr>
          <w:rFonts w:ascii="Times New Roman" w:eastAsiaTheme="minorHAnsi" w:hAnsi="Times New Roman"/>
          <w:kern w:val="2"/>
          <w:sz w:val="20"/>
          <w:szCs w:val="20"/>
          <w:lang w:eastAsia="en-US"/>
        </w:rPr>
        <w:t xml:space="preserve"> повинна здійснюватись під керуванням операційної системи </w:t>
      </w:r>
      <w:proofErr w:type="spellStart"/>
      <w:r w:rsidRPr="002409F6">
        <w:rPr>
          <w:rFonts w:ascii="Times New Roman" w:eastAsiaTheme="minorHAnsi" w:hAnsi="Times New Roman"/>
          <w:kern w:val="2"/>
          <w:sz w:val="20"/>
          <w:szCs w:val="20"/>
          <w:lang w:eastAsia="en-US"/>
        </w:rPr>
        <w:t>Linux</w:t>
      </w:r>
      <w:proofErr w:type="spellEnd"/>
      <w:r w:rsidRPr="002409F6">
        <w:rPr>
          <w:rFonts w:ascii="Times New Roman" w:eastAsiaTheme="minorHAnsi" w:hAnsi="Times New Roman"/>
          <w:kern w:val="2"/>
          <w:sz w:val="20"/>
          <w:szCs w:val="20"/>
          <w:lang w:eastAsia="en-US"/>
        </w:rPr>
        <w:t xml:space="preserve"> (ОС з відкритим кодом) з використанням програмного забезпечення, яке сумісне та може бути </w:t>
      </w:r>
      <w:proofErr w:type="spellStart"/>
      <w:r w:rsidRPr="002409F6">
        <w:rPr>
          <w:rFonts w:ascii="Times New Roman" w:eastAsiaTheme="minorHAnsi" w:hAnsi="Times New Roman"/>
          <w:kern w:val="2"/>
          <w:sz w:val="20"/>
          <w:szCs w:val="20"/>
          <w:lang w:eastAsia="en-US"/>
        </w:rPr>
        <w:t>зінтегроване</w:t>
      </w:r>
      <w:proofErr w:type="spellEnd"/>
      <w:r w:rsidRPr="002409F6">
        <w:rPr>
          <w:rFonts w:ascii="Times New Roman" w:eastAsiaTheme="minorHAnsi" w:hAnsi="Times New Roman"/>
          <w:kern w:val="2"/>
          <w:sz w:val="20"/>
          <w:szCs w:val="20"/>
          <w:lang w:eastAsia="en-US"/>
        </w:rPr>
        <w:t xml:space="preserve"> з програмним забезпеченням територіальної автоматизованої системи централізованого оповіщення Львівської області  “</w:t>
      </w:r>
      <w:proofErr w:type="spellStart"/>
      <w:r w:rsidRPr="002409F6">
        <w:rPr>
          <w:rFonts w:ascii="Times New Roman" w:eastAsiaTheme="minorHAnsi" w:hAnsi="Times New Roman"/>
          <w:kern w:val="2"/>
          <w:sz w:val="20"/>
          <w:szCs w:val="20"/>
          <w:lang w:eastAsia="en-US"/>
        </w:rPr>
        <w:t>Набат-ВО</w:t>
      </w:r>
      <w:proofErr w:type="spellEnd"/>
      <w:r w:rsidRPr="002409F6">
        <w:rPr>
          <w:rFonts w:ascii="Times New Roman" w:eastAsiaTheme="minorHAnsi" w:hAnsi="Times New Roman"/>
          <w:kern w:val="2"/>
          <w:sz w:val="20"/>
          <w:szCs w:val="20"/>
          <w:lang w:eastAsia="en-US"/>
        </w:rPr>
        <w:t>”.</w:t>
      </w:r>
    </w:p>
    <w:p w:rsidR="002409F6" w:rsidRPr="002409F6" w:rsidRDefault="002409F6" w:rsidP="002409F6">
      <w:pPr>
        <w:jc w:val="both"/>
        <w:rPr>
          <w:rFonts w:ascii="Times New Roman" w:eastAsia="Times New Roman" w:hAnsi="Times New Roman"/>
          <w:sz w:val="20"/>
          <w:szCs w:val="20"/>
          <w:lang w:eastAsia="en-US"/>
        </w:rPr>
      </w:pPr>
    </w:p>
    <w:p w:rsidR="002409F6" w:rsidRPr="002409F6" w:rsidRDefault="002409F6" w:rsidP="002409F6">
      <w:pPr>
        <w:jc w:val="both"/>
        <w:rPr>
          <w:rFonts w:ascii="Times New Roman" w:eastAsia="Times New Roman" w:hAnsi="Times New Roman"/>
          <w:i/>
          <w:sz w:val="20"/>
          <w:szCs w:val="20"/>
          <w:lang w:eastAsia="en-US"/>
        </w:rPr>
      </w:pPr>
    </w:p>
    <w:p w:rsidR="002409F6" w:rsidRPr="002409F6" w:rsidRDefault="002409F6" w:rsidP="002409F6">
      <w:pPr>
        <w:jc w:val="both"/>
        <w:rPr>
          <w:rFonts w:ascii="Times New Roman" w:eastAsia="Times New Roman" w:hAnsi="Times New Roman"/>
          <w:i/>
          <w:sz w:val="20"/>
          <w:szCs w:val="20"/>
          <w:lang w:eastAsia="en-US"/>
        </w:rPr>
      </w:pPr>
      <w:r w:rsidRPr="002409F6">
        <w:rPr>
          <w:rFonts w:ascii="Times New Roman" w:eastAsia="Times New Roman" w:hAnsi="Times New Roman"/>
          <w:i/>
          <w:sz w:val="20"/>
          <w:szCs w:val="20"/>
          <w:lang w:eastAsia="en-US"/>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2409F6">
        <w:rPr>
          <w:rFonts w:ascii="Times New Roman" w:eastAsia="Times New Roman" w:hAnsi="Times New Roman"/>
          <w:b/>
          <w:i/>
          <w:sz w:val="20"/>
          <w:szCs w:val="20"/>
          <w:lang w:eastAsia="en-US"/>
        </w:rPr>
        <w:t>«або еквівалент».</w:t>
      </w:r>
    </w:p>
    <w:p w:rsidR="002409F6" w:rsidRPr="002409F6" w:rsidRDefault="002409F6" w:rsidP="002409F6">
      <w:pPr>
        <w:jc w:val="both"/>
        <w:rPr>
          <w:rFonts w:ascii="Times New Roman" w:eastAsia="Times New Roman" w:hAnsi="Times New Roman"/>
          <w:b/>
          <w:i/>
          <w:sz w:val="20"/>
          <w:szCs w:val="20"/>
          <w:lang w:eastAsia="en-US"/>
        </w:rPr>
      </w:pPr>
      <w:r w:rsidRPr="002409F6">
        <w:rPr>
          <w:rFonts w:ascii="Times New Roman" w:eastAsia="Times New Roman" w:hAnsi="Times New Roman"/>
          <w:i/>
          <w:sz w:val="20"/>
          <w:szCs w:val="20"/>
          <w:lang w:eastAsia="en-US"/>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w:t>
      </w:r>
      <w:proofErr w:type="spellStart"/>
      <w:r w:rsidRPr="002409F6">
        <w:rPr>
          <w:rFonts w:ascii="Times New Roman" w:eastAsia="Times New Roman" w:hAnsi="Times New Roman"/>
          <w:i/>
          <w:sz w:val="20"/>
          <w:szCs w:val="20"/>
          <w:lang w:eastAsia="en-US"/>
        </w:rPr>
        <w:t>закуповуються</w:t>
      </w:r>
      <w:proofErr w:type="spellEnd"/>
      <w:r w:rsidRPr="002409F6">
        <w:rPr>
          <w:rFonts w:ascii="Times New Roman" w:eastAsia="Times New Roman" w:hAnsi="Times New Roman"/>
          <w:i/>
          <w:sz w:val="20"/>
          <w:szCs w:val="20"/>
          <w:lang w:eastAsia="en-US"/>
        </w:rPr>
        <w:t>,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w:t>
      </w:r>
      <w:r w:rsidRPr="002409F6">
        <w:rPr>
          <w:rFonts w:ascii="Times New Roman" w:eastAsia="Times New Roman" w:hAnsi="Times New Roman"/>
          <w:b/>
          <w:i/>
          <w:sz w:val="20"/>
          <w:szCs w:val="20"/>
          <w:lang w:eastAsia="en-US"/>
        </w:rPr>
        <w:t>або еквівалент».</w:t>
      </w:r>
    </w:p>
    <w:p w:rsidR="002409F6" w:rsidRPr="002409F6" w:rsidRDefault="002409F6" w:rsidP="002409F6">
      <w:pPr>
        <w:jc w:val="both"/>
        <w:rPr>
          <w:rFonts w:ascii="Times New Roman" w:eastAsia="Times New Roman" w:hAnsi="Times New Roman"/>
          <w:b/>
          <w:i/>
          <w:sz w:val="20"/>
          <w:szCs w:val="20"/>
          <w:lang w:eastAsia="en-US"/>
        </w:rPr>
      </w:pPr>
      <w:r w:rsidRPr="002409F6">
        <w:rPr>
          <w:rFonts w:ascii="Times New Roman" w:eastAsia="Times New Roman" w:hAnsi="Times New Roman"/>
          <w:b/>
          <w:i/>
          <w:sz w:val="20"/>
          <w:szCs w:val="20"/>
          <w:lang w:eastAsia="en-US"/>
        </w:rPr>
        <w:t>Еквівалентом вважається товар з еквівалентними або кращими характеристиками.</w:t>
      </w:r>
    </w:p>
    <w:p w:rsidR="005E1D3D" w:rsidRPr="005E1D3D" w:rsidRDefault="005E1D3D" w:rsidP="005E1D3D">
      <w:pPr>
        <w:jc w:val="both"/>
        <w:rPr>
          <w:rFonts w:ascii="Times New Roman" w:eastAsia="Times New Roman" w:hAnsi="Times New Roman"/>
          <w:sz w:val="20"/>
          <w:szCs w:val="24"/>
          <w:u w:val="single"/>
        </w:rPr>
      </w:pPr>
      <w:bookmarkStart w:id="3" w:name="_GoBack"/>
      <w:r w:rsidRPr="005E1D3D">
        <w:rPr>
          <w:rFonts w:ascii="Times New Roman" w:eastAsia="Times New Roman" w:hAnsi="Times New Roman"/>
          <w:sz w:val="20"/>
          <w:szCs w:val="24"/>
        </w:rPr>
        <w:t>Обладнання для місцевої автоматизованої систе</w:t>
      </w:r>
      <w:r w:rsidRPr="005E1D3D">
        <w:rPr>
          <w:rFonts w:ascii="Times New Roman" w:eastAsia="Times New Roman" w:hAnsi="Times New Roman"/>
          <w:sz w:val="20"/>
          <w:szCs w:val="24"/>
        </w:rPr>
        <w:t xml:space="preserve">ми централізованого оповіщення </w:t>
      </w:r>
      <w:r w:rsidRPr="005E1D3D">
        <w:rPr>
          <w:rFonts w:ascii="Times New Roman" w:eastAsia="Times New Roman" w:hAnsi="Times New Roman"/>
          <w:sz w:val="20"/>
          <w:szCs w:val="24"/>
        </w:rPr>
        <w:t>(типу КГО-02/БОУ-200) (надалі – обладнання), який постачається, не перебував раніше в експлуатації, терміни та ум</w:t>
      </w:r>
      <w:r w:rsidRPr="005E1D3D">
        <w:rPr>
          <w:rFonts w:ascii="Times New Roman" w:eastAsia="Times New Roman" w:hAnsi="Times New Roman"/>
          <w:sz w:val="20"/>
          <w:szCs w:val="24"/>
        </w:rPr>
        <w:t xml:space="preserve">ови його зберігання не порушені, </w:t>
      </w:r>
      <w:r w:rsidRPr="005E1D3D">
        <w:rPr>
          <w:rFonts w:ascii="Times New Roman" w:eastAsia="Times New Roman" w:hAnsi="Times New Roman"/>
          <w:sz w:val="20"/>
          <w:szCs w:val="24"/>
        </w:rPr>
        <w:t>постачається в упаковці, що забезпечує захист його від пошкодження або псування під час транспортування та зберігання.</w:t>
      </w:r>
      <w:r w:rsidRPr="005E1D3D">
        <w:rPr>
          <w:rFonts w:ascii="Times New Roman" w:eastAsia="Times New Roman" w:hAnsi="Times New Roman"/>
          <w:sz w:val="20"/>
          <w:szCs w:val="24"/>
        </w:rPr>
        <w:t xml:space="preserve"> </w:t>
      </w:r>
      <w:r w:rsidRPr="005E1D3D">
        <w:rPr>
          <w:rFonts w:ascii="Times New Roman" w:eastAsia="Times New Roman" w:hAnsi="Times New Roman"/>
          <w:sz w:val="20"/>
          <w:szCs w:val="24"/>
        </w:rPr>
        <w:t xml:space="preserve">Всі витрати по транспортуванню, завантаженню та розвантаженню предмету закупівлі (обладнання), несе Постачальник. Неякісний предмет закупівлі (обладнання), підлягає обов’язковій заміні за рахунок Постачальника. </w:t>
      </w:r>
      <w:r w:rsidRPr="005E1D3D">
        <w:rPr>
          <w:rFonts w:ascii="Times New Roman" w:eastAsia="Times New Roman" w:hAnsi="Times New Roman"/>
          <w:sz w:val="20"/>
          <w:szCs w:val="24"/>
          <w:u w:val="single"/>
        </w:rPr>
        <w:t>Ціна включає вартість обладнання, матеріалів, монтажні, пусконалагоджувальні роботи та підключення, що забезпечить можливість автономного запуску обладнання, моніторинг технічного стану каналів зв'язку.</w:t>
      </w:r>
      <w:r w:rsidRPr="005E1D3D">
        <w:rPr>
          <w:rFonts w:ascii="Times New Roman" w:eastAsia="Times New Roman" w:hAnsi="Times New Roman"/>
          <w:sz w:val="20"/>
          <w:szCs w:val="24"/>
        </w:rPr>
        <w:t xml:space="preserve"> Гарантійний термін (строк) експлуатації товару, повинен становити </w:t>
      </w:r>
      <w:r w:rsidRPr="005E1D3D">
        <w:rPr>
          <w:rFonts w:ascii="Times New Roman" w:eastAsia="Times New Roman" w:hAnsi="Times New Roman"/>
          <w:sz w:val="20"/>
          <w:szCs w:val="24"/>
          <w:u w:val="single"/>
        </w:rPr>
        <w:t>не менше 12 місяців</w:t>
      </w:r>
      <w:r w:rsidRPr="005E1D3D">
        <w:rPr>
          <w:rFonts w:ascii="Times New Roman" w:eastAsia="Times New Roman" w:hAnsi="Times New Roman"/>
          <w:sz w:val="20"/>
          <w:szCs w:val="24"/>
        </w:rPr>
        <w:t xml:space="preserve"> з дати </w:t>
      </w:r>
      <w:r w:rsidRPr="005E1D3D">
        <w:rPr>
          <w:rFonts w:ascii="Times New Roman" w:eastAsia="Times New Roman" w:hAnsi="Times New Roman"/>
          <w:sz w:val="20"/>
          <w:szCs w:val="24"/>
          <w:u w:val="single"/>
        </w:rPr>
        <w:t>підписання акту введення в експлуатацію.</w:t>
      </w:r>
      <w:r w:rsidRPr="005E1D3D">
        <w:rPr>
          <w:rFonts w:ascii="Times New Roman" w:eastAsia="Times New Roman" w:hAnsi="Times New Roman"/>
          <w:sz w:val="20"/>
          <w:szCs w:val="24"/>
        </w:rPr>
        <w:t xml:space="preserve"> </w:t>
      </w:r>
      <w:r w:rsidRPr="005E1D3D">
        <w:rPr>
          <w:rFonts w:ascii="Times New Roman" w:eastAsia="Times New Roman" w:hAnsi="Times New Roman"/>
          <w:sz w:val="20"/>
          <w:szCs w:val="24"/>
        </w:rPr>
        <w:t xml:space="preserve">На підтвердження якості запропонованого учасником товару необхідно </w:t>
      </w:r>
      <w:r w:rsidRPr="005E1D3D">
        <w:rPr>
          <w:rFonts w:ascii="Times New Roman" w:eastAsia="Times New Roman" w:hAnsi="Times New Roman"/>
          <w:sz w:val="20"/>
          <w:szCs w:val="24"/>
          <w:u w:val="single"/>
        </w:rPr>
        <w:t>надати Паспорт якості (сертифікат якості виданий уповноваженим органом) щодо товару, який пропонується Учасником.</w:t>
      </w:r>
    </w:p>
    <w:bookmarkEnd w:id="3"/>
    <w:p w:rsidR="002409F6" w:rsidRPr="002409F6" w:rsidRDefault="002409F6" w:rsidP="002409F6">
      <w:pPr>
        <w:jc w:val="both"/>
        <w:rPr>
          <w:rFonts w:ascii="Times New Roman" w:eastAsia="Times New Roman" w:hAnsi="Times New Roman"/>
          <w:i/>
          <w:sz w:val="24"/>
          <w:szCs w:val="24"/>
          <w:lang w:eastAsia="en-US"/>
        </w:rPr>
      </w:pPr>
    </w:p>
    <w:p w:rsidR="00DF2FAC" w:rsidRPr="002C0C25" w:rsidRDefault="00DF2FAC" w:rsidP="002409F6">
      <w:pPr>
        <w:spacing w:after="0" w:line="240" w:lineRule="auto"/>
        <w:ind w:firstLine="708"/>
        <w:contextualSpacing/>
        <w:jc w:val="both"/>
        <w:rPr>
          <w:rFonts w:ascii="Times New Roman" w:hAnsi="Times New Roman"/>
          <w:sz w:val="20"/>
          <w:u w:val="single"/>
        </w:rPr>
      </w:pPr>
    </w:p>
    <w:sectPr w:rsidR="00DF2FAC" w:rsidRPr="002C0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1630B1"/>
    <w:multiLevelType w:val="multilevel"/>
    <w:tmpl w:val="4F7E2C60"/>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3BCC47C0"/>
    <w:multiLevelType w:val="multilevel"/>
    <w:tmpl w:val="928EB9EC"/>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5D117B5"/>
    <w:multiLevelType w:val="multilevel"/>
    <w:tmpl w:val="763EA102"/>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63EE77D5"/>
    <w:multiLevelType w:val="multilevel"/>
    <w:tmpl w:val="02523C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2"/>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D2E02"/>
    <w:rsid w:val="001D74DE"/>
    <w:rsid w:val="00220C13"/>
    <w:rsid w:val="002409F6"/>
    <w:rsid w:val="002C0C25"/>
    <w:rsid w:val="002F3558"/>
    <w:rsid w:val="002F3BDA"/>
    <w:rsid w:val="004132A6"/>
    <w:rsid w:val="004C3A5D"/>
    <w:rsid w:val="005038BC"/>
    <w:rsid w:val="00543179"/>
    <w:rsid w:val="005B0BB1"/>
    <w:rsid w:val="005E1D3D"/>
    <w:rsid w:val="006B71D2"/>
    <w:rsid w:val="006D199E"/>
    <w:rsid w:val="006F1BF7"/>
    <w:rsid w:val="007110E6"/>
    <w:rsid w:val="0072531E"/>
    <w:rsid w:val="007C2327"/>
    <w:rsid w:val="007E31D8"/>
    <w:rsid w:val="008470F6"/>
    <w:rsid w:val="0087596A"/>
    <w:rsid w:val="00917C12"/>
    <w:rsid w:val="00956EAF"/>
    <w:rsid w:val="00BC3F1F"/>
    <w:rsid w:val="00BE2CDE"/>
    <w:rsid w:val="00C369A8"/>
    <w:rsid w:val="00C703E0"/>
    <w:rsid w:val="00DF2FAC"/>
    <w:rsid w:val="00EF3108"/>
    <w:rsid w:val="00F47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6177</Words>
  <Characters>3521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18</cp:revision>
  <dcterms:created xsi:type="dcterms:W3CDTF">2024-09-20T07:42:00Z</dcterms:created>
  <dcterms:modified xsi:type="dcterms:W3CDTF">2025-06-05T09:31:00Z</dcterms:modified>
</cp:coreProperties>
</file>