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D7" w:rsidRDefault="00006AD7" w:rsidP="00006A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Середньостроковий план </w:t>
      </w:r>
    </w:p>
    <w:p w:rsidR="00C832DD" w:rsidRDefault="00006AD7" w:rsidP="00006A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пріоритетних публічних інвестицій </w:t>
      </w:r>
    </w:p>
    <w:p w:rsidR="00C832DD" w:rsidRDefault="00006AD7" w:rsidP="00006A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Сокальської</w:t>
      </w:r>
      <w:proofErr w:type="spellEnd"/>
      <w:r w:rsidR="00C832DD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міської</w:t>
      </w:r>
      <w:r w:rsidRPr="00006A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територіальної громади </w:t>
      </w:r>
    </w:p>
    <w:p w:rsidR="00006AD7" w:rsidRPr="00006AD7" w:rsidRDefault="00006AD7" w:rsidP="00006AD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на 2026–2028 роки </w:t>
      </w:r>
    </w:p>
    <w:p w:rsidR="00006AD7" w:rsidRPr="00006AD7" w:rsidRDefault="00006AD7" w:rsidP="00006AD7">
      <w:pPr>
        <w:spacing w:after="0" w:line="259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06AD7" w:rsidRPr="00A9523F" w:rsidRDefault="00006AD7" w:rsidP="00006AD7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Загальна частина</w:t>
      </w:r>
    </w:p>
    <w:p w:rsidR="00006AD7" w:rsidRPr="00006AD7" w:rsidRDefault="00006AD7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Середньостроковий план пріоритетних публічних інвестицій </w:t>
      </w:r>
      <w:proofErr w:type="spellStart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Сокальської</w:t>
      </w:r>
      <w:proofErr w:type="spellEnd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міської</w:t>
      </w: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територіальної громади на 2026–2028 роки (далі – середньостроковий план) розроблено відповідно до вимог Бюджетного кодексу України та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28.02.2025 №294, з урахуванням Стратегії розвитку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Сокальської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територіальної громади до 2027 року.</w:t>
      </w:r>
    </w:p>
    <w:p w:rsidR="00006AD7" w:rsidRPr="00081A58" w:rsidRDefault="00081A58" w:rsidP="00081A58">
      <w:pPr>
        <w:tabs>
          <w:tab w:val="left" w:pos="1134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Середньостроковий план 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громади</w:t>
      </w:r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публічних інвестиційних </w:t>
      </w:r>
      <w:proofErr w:type="spellStart"/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проєктах</w:t>
      </w:r>
      <w:proofErr w:type="spellEnd"/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(далі – </w:t>
      </w:r>
      <w:proofErr w:type="spellStart"/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проєкт</w:t>
      </w:r>
      <w:proofErr w:type="spellEnd"/>
      <w:r w:rsidRPr="00081A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та програмах публічних інвестицій (далі – програма).</w:t>
      </w:r>
    </w:p>
    <w:p w:rsidR="00006AD7" w:rsidRPr="00006AD7" w:rsidRDefault="00006AD7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Середньостроковий план визначає:</w:t>
      </w:r>
    </w:p>
    <w:p w:rsidR="00006AD7" w:rsidRPr="00006AD7" w:rsidRDefault="00006AD7" w:rsidP="00006AD7">
      <w:pPr>
        <w:numPr>
          <w:ilvl w:val="0"/>
          <w:numId w:val="2"/>
        </w:num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наскрізні стратегічні цілі здійснення публічних інвестицій у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Сокальській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громаді;</w:t>
      </w:r>
    </w:p>
    <w:p w:rsidR="00006AD7" w:rsidRPr="00006AD7" w:rsidRDefault="00006AD7" w:rsidP="00006AD7">
      <w:pPr>
        <w:numPr>
          <w:ilvl w:val="0"/>
          <w:numId w:val="3"/>
        </w:num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пріоритетні галузі (сектори) для публічного інвестування;</w:t>
      </w:r>
    </w:p>
    <w:p w:rsidR="00D24EEE" w:rsidRDefault="00D24EEE" w:rsidP="00006AD7">
      <w:pPr>
        <w:numPr>
          <w:ilvl w:val="0"/>
          <w:numId w:val="3"/>
        </w:numPr>
        <w:tabs>
          <w:tab w:val="left" w:pos="993"/>
        </w:tabs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підсектори</w:t>
      </w:r>
      <w:proofErr w:type="spellEnd"/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галузей (секторів) для публічного інвестування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;</w:t>
      </w:r>
    </w:p>
    <w:p w:rsidR="00D24EEE" w:rsidRPr="00006AD7" w:rsidRDefault="00D24EEE" w:rsidP="00D24EEE">
      <w:pPr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1276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основні напрями публічного інвестування, у тому числі за діючими </w:t>
      </w:r>
      <w:proofErr w:type="spellStart"/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проєктами</w:t>
      </w:r>
      <w:proofErr w:type="spellEnd"/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та програмами, цільові показники цих напрямів в розрізі сфер</w:t>
      </w:r>
      <w:r w:rsidR="003F1B0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державної, регіональної та</w:t>
      </w:r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місцевої політики</w:t>
      </w:r>
      <w:r w:rsidRPr="00D24EEE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і відповідний орієнтовний розподіл коштів за рахунок різних джерел фінансування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006AD7" w:rsidRPr="00006AD7" w:rsidRDefault="00006AD7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Сфера дії середньострокового плану включає публічні інвестиції, </w:t>
      </w:r>
      <w:r w:rsidR="00AE792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що </w:t>
      </w: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спрямовані на реалізацію </w:t>
      </w:r>
      <w:proofErr w:type="spellStart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проєктів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і програм громади.</w:t>
      </w:r>
      <w:r w:rsidR="00AE792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E792A" w:rsidRPr="00AE792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Водночас не охоплює компенсації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України, а також гранти, програми підтримки бізнесу, фінансування від міжнародних фінансових організацій для приватного сектора та інші інструменти і форми підтримки бізнесу та громадян, які не є публічними інвестиціями у розумінні Бюджетного кодексу України.</w:t>
      </w:r>
    </w:p>
    <w:p w:rsidR="00AE792A" w:rsidRDefault="00AE792A" w:rsidP="00006AD7">
      <w:pPr>
        <w:spacing w:after="120" w:line="259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006AD7" w:rsidRPr="00A9523F" w:rsidRDefault="00006AD7" w:rsidP="00006AD7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lastRenderedPageBreak/>
        <w:t>Описова частина</w:t>
      </w:r>
    </w:p>
    <w:p w:rsidR="00006AD7" w:rsidRDefault="00006AD7" w:rsidP="00316B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Середньостроковий план розроблено на основі пропозицій структурних підрозділів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міської</w:t>
      </w: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ради та з урахуванням цілей і завдань, визначених місцевими та державними документами стратегічного планування. План сформовано у межах орієнтовного граничного сукупного обсягу публічних інвестицій</w:t>
      </w:r>
      <w:r w:rsid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9559A8"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середньостроковий період</w:t>
      </w: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доведеного </w:t>
      </w:r>
      <w:r w:rsid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</w:t>
      </w:r>
      <w:r w:rsidR="009559A8"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інансовим управлінням</w:t>
      </w:r>
      <w:r w:rsid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Сокальської</w:t>
      </w:r>
      <w:proofErr w:type="spellEnd"/>
      <w:r w:rsid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міської ради</w:t>
      </w: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70341E" w:rsidRPr="00006AD7" w:rsidRDefault="0070341E" w:rsidP="00316B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316B6F" w:rsidRPr="00A9523F" w:rsidRDefault="00006AD7" w:rsidP="00316B6F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i/>
          <w:kern w:val="2"/>
          <w:sz w:val="28"/>
          <w:szCs w:val="28"/>
          <w14:ligatures w14:val="standardContextual"/>
        </w:rPr>
        <w:t>Наскрізні стратегічні цілі</w:t>
      </w:r>
      <w:r w:rsidR="009559A8" w:rsidRPr="00A9523F">
        <w:rPr>
          <w:rFonts w:ascii="Times New Roman" w:eastAsia="Calibri" w:hAnsi="Times New Roman" w:cs="Times New Roman"/>
          <w:b/>
          <w:i/>
          <w:kern w:val="2"/>
          <w:sz w:val="28"/>
          <w:szCs w:val="28"/>
          <w14:ligatures w14:val="standardContextual"/>
        </w:rPr>
        <w:t xml:space="preserve"> здійснення публічних інвестицій</w:t>
      </w:r>
    </w:p>
    <w:p w:rsidR="009559A8" w:rsidRDefault="009559A8" w:rsidP="00316B6F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2026-2028 роки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державою визначено наступні наскрізні стратегічні цілі: </w:t>
      </w:r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енергоефективність, реагування на зміни клімату, гендерна рівність та </w:t>
      </w:r>
      <w:proofErr w:type="spellStart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безбар’єрність</w:t>
      </w:r>
      <w:proofErr w:type="spellEnd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:rsidR="0070341E" w:rsidRDefault="009559A8" w:rsidP="00875468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 час формування</w:t>
      </w:r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середньострокового</w:t>
      </w:r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план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Сокальська</w:t>
      </w:r>
      <w:proofErr w:type="spellEnd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міська рада керується державними цілями, </w:t>
      </w:r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які мають ключове значення для досягнення сталого розвитку та соціальної справедливості в Україні. Їх реалізація передбачає раціональне використання енергоресурсів, впровадження </w:t>
      </w:r>
      <w:proofErr w:type="spellStart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енергоефективних</w:t>
      </w:r>
      <w:proofErr w:type="spellEnd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технологій, адаптацію інфраструктури до нових викликів та захисту навколишнього природного середовища, врахування принципів рівності, </w:t>
      </w:r>
      <w:proofErr w:type="spellStart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безбар’єрності</w:t>
      </w:r>
      <w:proofErr w:type="spellEnd"/>
      <w:r w:rsidRPr="009559A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доступності для всіх категорій населення, включаючи осіб з інвалідністю, осіб з різними функціональними порушеннями, а також людей похилого віку, незалежно від їх статі та соціального статусу.</w:t>
      </w:r>
    </w:p>
    <w:p w:rsidR="0070341E" w:rsidRPr="00006AD7" w:rsidRDefault="0070341E" w:rsidP="00875468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006AD7" w:rsidRPr="00A9523F" w:rsidRDefault="0070341E" w:rsidP="00875468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Пріоритетні галузі (сектори) для публічного інвестування</w:t>
      </w:r>
    </w:p>
    <w:p w:rsidR="0070341E" w:rsidRDefault="0070341E" w:rsidP="0070341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70341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Пріоритетні галузі (сектори) для публічного інвестування, що містяться в середньостроковому плані є ключовими для громади та саме на них спрямовуватимуться публічні інвестиції на середньостроковий період. </w:t>
      </w:r>
    </w:p>
    <w:p w:rsidR="0070341E" w:rsidRDefault="0070341E" w:rsidP="0070341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70341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Пріоритетні галузі (сектори) для публічного інвестування були відібрані та впорядковані на період дії середньострокового плану, враховуючи потреби, пріоритети та спроможності громади. </w:t>
      </w:r>
    </w:p>
    <w:p w:rsidR="00D1474A" w:rsidRDefault="0070341E" w:rsidP="00D1474A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70341E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До пріоритетних галузей (секторів) для публічного інвестування, визначених цим планом, відносяться:</w:t>
      </w:r>
      <w:bookmarkStart w:id="0" w:name="_GoBack"/>
      <w:bookmarkEnd w:id="0"/>
    </w:p>
    <w:tbl>
      <w:tblPr>
        <w:tblStyle w:val="a3"/>
        <w:tblW w:w="9745" w:type="dxa"/>
        <w:tblLayout w:type="fixed"/>
        <w:tblLook w:val="04A0" w:firstRow="1" w:lastRow="0" w:firstColumn="1" w:lastColumn="0" w:noHBand="0" w:noVBand="1"/>
      </w:tblPr>
      <w:tblGrid>
        <w:gridCol w:w="4781"/>
        <w:gridCol w:w="4964"/>
      </w:tblGrid>
      <w:tr w:rsidR="0070341E" w:rsidRPr="00985F0F" w:rsidTr="00DE2B70">
        <w:trPr>
          <w:trHeight w:val="322"/>
        </w:trPr>
        <w:tc>
          <w:tcPr>
            <w:tcW w:w="4781" w:type="dxa"/>
            <w:vMerge w:val="restart"/>
          </w:tcPr>
          <w:p w:rsidR="0070341E" w:rsidRPr="00985F0F" w:rsidRDefault="0070341E" w:rsidP="00DE2B7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5F0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Галузь (сектор) для публічного інвестування</w:t>
            </w:r>
          </w:p>
          <w:p w:rsidR="0070341E" w:rsidRPr="00985F0F" w:rsidRDefault="0070341E" w:rsidP="00DE2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964" w:type="dxa"/>
            <w:vMerge w:val="restart"/>
          </w:tcPr>
          <w:p w:rsidR="0070341E" w:rsidRPr="00985F0F" w:rsidRDefault="0070341E" w:rsidP="00DE2B7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85F0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Найменування структурного підрозділу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, </w:t>
            </w:r>
            <w:r w:rsidRPr="001E67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іншого виконавчого органу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Сокальської</w:t>
            </w:r>
            <w:proofErr w:type="spellEnd"/>
            <w:r w:rsidRPr="001E67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85F0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міської ради, відповідального за галузь (сектор) для публічного інвестування</w:t>
            </w:r>
          </w:p>
        </w:tc>
      </w:tr>
      <w:tr w:rsidR="0070341E" w:rsidRPr="00985F0F" w:rsidTr="00DE2B70">
        <w:tc>
          <w:tcPr>
            <w:tcW w:w="4781" w:type="dxa"/>
          </w:tcPr>
          <w:p w:rsidR="0070341E" w:rsidRPr="00985F0F" w:rsidRDefault="0070341E" w:rsidP="0070341E">
            <w:pPr>
              <w:pStyle w:val="a4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3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Муніципальна інфраструктура та послуги</w:t>
            </w:r>
          </w:p>
        </w:tc>
        <w:tc>
          <w:tcPr>
            <w:tcW w:w="4964" w:type="dxa"/>
          </w:tcPr>
          <w:p w:rsidR="0070341E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ідділ житлово-комунального господарства, комунальної власності, транспорту та благоустрою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Pr="000340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архітектури та містобудування;</w:t>
            </w:r>
          </w:p>
          <w:p w:rsidR="0070341E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КП «</w:t>
            </w:r>
            <w:proofErr w:type="spellStart"/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Сокальжитлокомунсервіс</w:t>
            </w:r>
            <w:proofErr w:type="spellEnd"/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0341E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МКП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Сокальводоканал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</w:p>
          <w:p w:rsidR="0070341E" w:rsidRPr="00985F0F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Сокальської</w:t>
            </w:r>
            <w:proofErr w:type="spellEnd"/>
            <w:r w:rsidRPr="001E6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70341E" w:rsidRPr="00985F0F" w:rsidTr="00DE2B70">
        <w:tc>
          <w:tcPr>
            <w:tcW w:w="4781" w:type="dxa"/>
          </w:tcPr>
          <w:p w:rsidR="0070341E" w:rsidRPr="00985F0F" w:rsidRDefault="0070341E" w:rsidP="0070341E">
            <w:pPr>
              <w:pStyle w:val="a4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3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Освіта і наука</w:t>
            </w:r>
          </w:p>
        </w:tc>
        <w:tc>
          <w:tcPr>
            <w:tcW w:w="4964" w:type="dxa"/>
          </w:tcPr>
          <w:p w:rsidR="0070341E" w:rsidRPr="00985F0F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Відділ освіти, молоді та спорту </w:t>
            </w:r>
            <w:proofErr w:type="spellStart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Сокальської</w:t>
            </w:r>
            <w:proofErr w:type="spellEnd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70341E" w:rsidRPr="00985F0F" w:rsidTr="00DE2B70">
        <w:tc>
          <w:tcPr>
            <w:tcW w:w="4781" w:type="dxa"/>
          </w:tcPr>
          <w:p w:rsidR="0070341E" w:rsidRPr="00985F0F" w:rsidRDefault="0070341E" w:rsidP="0070341E">
            <w:pPr>
              <w:pStyle w:val="a4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3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Охорона здоров'я</w:t>
            </w:r>
          </w:p>
        </w:tc>
        <w:tc>
          <w:tcPr>
            <w:tcW w:w="4964" w:type="dxa"/>
          </w:tcPr>
          <w:p w:rsidR="0070341E" w:rsidRPr="00985F0F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КНП "</w:t>
            </w:r>
            <w:proofErr w:type="spellStart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Сокальська</w:t>
            </w:r>
            <w:proofErr w:type="spellEnd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РЛ"</w:t>
            </w:r>
          </w:p>
        </w:tc>
      </w:tr>
      <w:tr w:rsidR="0070341E" w:rsidRPr="00985F0F" w:rsidTr="00DE2B70">
        <w:tc>
          <w:tcPr>
            <w:tcW w:w="4781" w:type="dxa"/>
          </w:tcPr>
          <w:p w:rsidR="0070341E" w:rsidRPr="00AE325A" w:rsidRDefault="0070341E" w:rsidP="0070341E">
            <w:pPr>
              <w:pStyle w:val="a4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69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та інформація</w:t>
            </w:r>
          </w:p>
        </w:tc>
        <w:tc>
          <w:tcPr>
            <w:tcW w:w="4964" w:type="dxa"/>
          </w:tcPr>
          <w:p w:rsidR="0070341E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архітектури та містобудування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70341E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культури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Сокальської</w:t>
            </w:r>
            <w:proofErr w:type="spellEnd"/>
            <w:r w:rsidRPr="00F94A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70341E" w:rsidRPr="00985F0F" w:rsidTr="00DE2B70">
        <w:tc>
          <w:tcPr>
            <w:tcW w:w="4781" w:type="dxa"/>
          </w:tcPr>
          <w:p w:rsidR="0070341E" w:rsidRPr="00AE325A" w:rsidRDefault="0070341E" w:rsidP="0070341E">
            <w:pPr>
              <w:pStyle w:val="a4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E32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Соціальна сфера</w:t>
            </w:r>
          </w:p>
        </w:tc>
        <w:tc>
          <w:tcPr>
            <w:tcW w:w="4964" w:type="dxa"/>
          </w:tcPr>
          <w:p w:rsidR="0070341E" w:rsidRPr="00985F0F" w:rsidRDefault="0070341E" w:rsidP="00DE2B70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 соціального захис</w:t>
            </w:r>
            <w:r w:rsidRPr="00A70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</w:t>
            </w:r>
          </w:p>
        </w:tc>
      </w:tr>
    </w:tbl>
    <w:p w:rsidR="0070341E" w:rsidRPr="0070341E" w:rsidRDefault="0070341E" w:rsidP="0070341E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4157D9" w:rsidRDefault="004157D9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4157D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З метою досягнення стратегічних цілей та забезпечення реалізації завдань спрямованих на відновлення інфраструктури, стимулювання соціально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Pr="004157D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економічного розвитку та покращення якості життя громадян протягом 2026-2028 років середньостроковим планом пропонується визначити</w:t>
      </w:r>
      <w:r w:rsidR="00D1474A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5</w:t>
      </w:r>
      <w:r w:rsidRPr="004157D9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ключових секторів (галузей) для публічного інвестування.</w:t>
      </w:r>
    </w:p>
    <w:p w:rsidR="00D53D85" w:rsidRDefault="00D53D85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53D85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 (галузь) </w:t>
      </w:r>
      <w:r w:rsidRPr="00D53D8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«Муніципальна інфраструктура та послуги»</w:t>
      </w:r>
      <w:r w:rsidRPr="00D53D85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спрямований на модернізацію систем водопостачання і водовідведення в населених пунктах, а також підвищення енергоефективності в громадських будівлях. Крім того, публічні інвестиції будуть спрямовані на розбудову та відновлення муніципальної інфраструктури.</w:t>
      </w:r>
    </w:p>
    <w:p w:rsidR="00D53D85" w:rsidRDefault="00D53D85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53D85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 (галузь) </w:t>
      </w:r>
      <w:r w:rsidRPr="00D53D85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«Освіта і наука»</w:t>
      </w:r>
      <w:r w:rsidRPr="00D53D85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спрямований на модернізацію закладів освіти, покращення їх інфраструктури, забезпечення якості, безпеки та доступності освіти.</w:t>
      </w:r>
    </w:p>
    <w:p w:rsidR="00DB0244" w:rsidRDefault="00DB0244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024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 (галузь) </w:t>
      </w:r>
      <w:r w:rsidRPr="00DB024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«Охорона здоров’я»</w:t>
      </w:r>
      <w:r w:rsidRPr="00DB024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спрямований на розвиток медичних закладів, покращення доступу до медичних послуг.</w:t>
      </w:r>
    </w:p>
    <w:p w:rsidR="00DB0244" w:rsidRDefault="00DB0244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DB024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 (галузь) </w:t>
      </w:r>
      <w:r w:rsidRPr="00DB0244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«Культура та інформація»</w:t>
      </w:r>
      <w:r w:rsidRPr="00DB024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спрямований на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покращення умов надання базових культурних послуг та розбудову і</w:t>
      </w:r>
      <w:r w:rsidRPr="00DB0244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відновлення культурної спадщини громади.</w:t>
      </w:r>
    </w:p>
    <w:p w:rsidR="00DB0244" w:rsidRDefault="009F325B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F325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 (галузь) </w:t>
      </w:r>
      <w:r w:rsidRPr="009F325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«Соціальна сфера»</w:t>
      </w:r>
      <w:r w:rsidRPr="009F325B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спрямований на </w:t>
      </w:r>
      <w:r w:rsidR="00245BE3" w:rsidRPr="00245BE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покращення процесів надання соціальної підтримки </w:t>
      </w:r>
      <w:r w:rsidR="00245BE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та 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забезпечення осіб похилого віку, які </w:t>
      </w:r>
      <w:r w:rsidR="00BD0ED2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втратили/не набули здатність до самообслуговування п</w:t>
      </w:r>
      <w:r w:rsidR="00B9013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ослугою підтриманого проживання</w:t>
      </w:r>
      <w:r w:rsidR="00245BE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D1474A" w:rsidRDefault="00D1474A" w:rsidP="005B164B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:rsidR="00006AD7" w:rsidRPr="00A9523F" w:rsidRDefault="00006AD7" w:rsidP="005B164B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proofErr w:type="spellStart"/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Підсектори</w:t>
      </w:r>
      <w:proofErr w:type="spellEnd"/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 xml:space="preserve"> галузей (секторів) для публічного інвестування</w:t>
      </w:r>
    </w:p>
    <w:p w:rsidR="00006AD7" w:rsidRPr="00006AD7" w:rsidRDefault="00006AD7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Підсектори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держави. Їх визначення дозволяє деталізувати пріоритети та оптимізувати використання бюджетних коштів.</w:t>
      </w:r>
    </w:p>
    <w:p w:rsidR="00006AD7" w:rsidRPr="00006AD7" w:rsidRDefault="00006AD7" w:rsidP="00006AD7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У межах кожної пріоритетної галузі (сектора) для публічного інвестування формуються </w:t>
      </w:r>
      <w:proofErr w:type="spellStart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підсектори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, що відображають ключові напрями розвитку, які потребують публічних інвестицій.</w:t>
      </w:r>
    </w:p>
    <w:p w:rsidR="00006AD7" w:rsidRDefault="00006AD7" w:rsidP="00006AD7">
      <w:pPr>
        <w:spacing w:after="24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Підсектори</w:t>
      </w:r>
      <w:proofErr w:type="spellEnd"/>
      <w:r w:rsidRPr="00006AD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є важливими аналітичними одиницями, які сприяють реалізації державних стратегій розвитку та забезпечують впровадження інтегрованого підходу до управління публічними інвестиціями.</w:t>
      </w:r>
    </w:p>
    <w:p w:rsidR="00006AD7" w:rsidRPr="005B164B" w:rsidRDefault="005B164B" w:rsidP="005B164B">
      <w:pPr>
        <w:spacing w:after="24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Перелік </w:t>
      </w:r>
      <w:proofErr w:type="spellStart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підсекторів</w:t>
      </w:r>
      <w:proofErr w:type="spellEnd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галузей (секторів) для публічного інвестування та основних напрямів для публічного інвестування в межах таких </w:t>
      </w:r>
      <w:proofErr w:type="spellStart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підсекторів</w:t>
      </w:r>
      <w:proofErr w:type="spellEnd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наведено у Додатку 1 до середньострокового плану. Перелік </w:t>
      </w:r>
      <w:proofErr w:type="spellStart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підсекторів</w:t>
      </w:r>
      <w:proofErr w:type="spellEnd"/>
      <w:r w:rsidRPr="005B164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галузей (секторів) для публічного інвестування та інших напрямів для публіч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ного інвестування - у Додатку 2</w:t>
      </w:r>
      <w:r w:rsidR="00B438A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D1474A" w:rsidRDefault="00D1474A" w:rsidP="005B164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</w:p>
    <w:p w:rsidR="005B164B" w:rsidRPr="00A9523F" w:rsidRDefault="00006AD7" w:rsidP="005B164B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A95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Основні напрями публічного інвестування</w:t>
      </w:r>
    </w:p>
    <w:p w:rsidR="0013023D" w:rsidRDefault="0013023D" w:rsidP="00006AD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130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Основні напрями публічного інвестування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Сокальської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міської</w:t>
      </w:r>
      <w:r w:rsidRPr="00130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територіальної громади визначені з урахуванням завдань Державної стратегії регіонального розвитку України, галузевих (секторальних) стратегій у відповідних сферах державної політики, а також пріоритетів розвитку громади. Ці напрями мають найвищий рівень пріоритетності серед інших ініціатив у відповідних сферах і є базою для залучення фінансування 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різних</w:t>
      </w:r>
      <w:r w:rsidRPr="001302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джерел.</w:t>
      </w:r>
    </w:p>
    <w:p w:rsidR="00E26C7E" w:rsidRPr="00E26C7E" w:rsidRDefault="00E26C7E" w:rsidP="00E26C7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E26C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Під час визначення основних напрямів інвестування враховано:</w:t>
      </w:r>
    </w:p>
    <w:p w:rsidR="00E26C7E" w:rsidRPr="00E26C7E" w:rsidRDefault="00E26C7E" w:rsidP="00E26C7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завдання, передбачені Стратегією розвитку </w:t>
      </w:r>
      <w:proofErr w:type="spellStart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Сокальської</w:t>
      </w:r>
      <w:proofErr w:type="spellEnd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територіальної громади до 2027 року;</w:t>
      </w:r>
    </w:p>
    <w:p w:rsidR="00E26C7E" w:rsidRPr="00E26C7E" w:rsidRDefault="00E26C7E" w:rsidP="00E26C7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першочергові потреби громади;</w:t>
      </w:r>
    </w:p>
    <w:p w:rsidR="00E26C7E" w:rsidRPr="00E26C7E" w:rsidRDefault="00E26C7E" w:rsidP="00E26C7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пріоритети, визначені у співпраці з партнерами та донорами;</w:t>
      </w:r>
    </w:p>
    <w:p w:rsidR="00E26C7E" w:rsidRPr="00E26C7E" w:rsidRDefault="00E26C7E" w:rsidP="00E26C7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наявність діючих інвестиційних та інфраструктурних </w:t>
      </w:r>
      <w:proofErr w:type="spellStart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Сокальській</w:t>
      </w:r>
      <w:proofErr w:type="spellEnd"/>
      <w:r w:rsidRPr="00E26C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територіальній громаді.</w:t>
      </w:r>
    </w:p>
    <w:p w:rsidR="00006AD7" w:rsidRPr="00877F45" w:rsidRDefault="0013023D" w:rsidP="00877F45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Формування основних напрямів публічного інвестування здійснювалось на основі пропозицій </w:t>
      </w:r>
      <w:r w:rsidR="00200DB7" w:rsidRPr="0020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структурних підрозділів та установ громади</w:t>
      </w:r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відповідальних за галузі (сектор</w:t>
      </w:r>
      <w:r w:rsidR="00200D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и) для публічного інвестування, </w:t>
      </w:r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урахуванням наявності діючих</w:t>
      </w:r>
      <w:r w:rsidR="00B2435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запланованих</w:t>
      </w:r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1302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відповідними напрямами.</w:t>
      </w:r>
    </w:p>
    <w:p w:rsidR="00D1474A" w:rsidRDefault="00D1474A" w:rsidP="00006AD7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:rsidR="00006AD7" w:rsidRPr="00A9523F" w:rsidRDefault="00006AD7" w:rsidP="00006AD7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Фінансова структура публічних інвестицій</w:t>
      </w:r>
    </w:p>
    <w:p w:rsidR="0053257A" w:rsidRDefault="0053257A" w:rsidP="0053257A">
      <w:pPr>
        <w:widowControl w:val="0"/>
        <w:autoSpaceDE w:val="0"/>
        <w:autoSpaceDN w:val="0"/>
        <w:spacing w:before="120" w:after="0" w:line="242" w:lineRule="auto"/>
        <w:ind w:right="14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7A">
        <w:rPr>
          <w:rFonts w:ascii="Times New Roman" w:eastAsia="Times New Roman" w:hAnsi="Times New Roman" w:cs="Times New Roman"/>
          <w:sz w:val="28"/>
          <w:szCs w:val="28"/>
        </w:rPr>
        <w:t xml:space="preserve">Орієнтовний граничний сукупний обсяг публічних інвестицій на 2026– 2028 роки в розрізі джерел фінансового забезпечення та за роками становить: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D1474A" w:rsidRDefault="0053257A" w:rsidP="00354BEB">
      <w:pPr>
        <w:widowControl w:val="0"/>
        <w:autoSpaceDE w:val="0"/>
        <w:autoSpaceDN w:val="0"/>
        <w:spacing w:before="120" w:after="0" w:line="242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3257A" w:rsidRPr="0053257A" w:rsidRDefault="0053257A" w:rsidP="00354BEB">
      <w:pPr>
        <w:widowControl w:val="0"/>
        <w:autoSpaceDE w:val="0"/>
        <w:autoSpaceDN w:val="0"/>
        <w:spacing w:before="120" w:after="0" w:line="242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257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тис. грн.                          </w:t>
      </w:r>
    </w:p>
    <w:tbl>
      <w:tblPr>
        <w:tblStyle w:val="TableNormal"/>
        <w:tblW w:w="963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701"/>
        <w:gridCol w:w="1843"/>
        <w:gridCol w:w="1701"/>
        <w:gridCol w:w="1843"/>
      </w:tblGrid>
      <w:tr w:rsidR="0053257A" w:rsidRPr="0053257A" w:rsidTr="0053257A">
        <w:trPr>
          <w:trHeight w:val="1108"/>
        </w:trPr>
        <w:tc>
          <w:tcPr>
            <w:tcW w:w="2551" w:type="dxa"/>
          </w:tcPr>
          <w:p w:rsidR="0053257A" w:rsidRPr="0053257A" w:rsidRDefault="0053257A" w:rsidP="0053257A">
            <w:pPr>
              <w:spacing w:before="239" w:after="120"/>
              <w:ind w:right="14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Показник</w:t>
            </w:r>
            <w:proofErr w:type="spellEnd"/>
          </w:p>
        </w:tc>
        <w:tc>
          <w:tcPr>
            <w:tcW w:w="1701" w:type="dxa"/>
          </w:tcPr>
          <w:p w:rsidR="0053257A" w:rsidRPr="0053257A" w:rsidRDefault="0053257A" w:rsidP="0053257A">
            <w:pPr>
              <w:spacing w:before="239" w:after="120"/>
              <w:ind w:left="354" w:firstLine="79"/>
              <w:rPr>
                <w:rFonts w:ascii="Times New Roman" w:eastAsia="Times New Roman" w:hAnsi="Times New Roman" w:cs="Times New Roman"/>
                <w:b/>
                <w:sz w:val="28"/>
                <w:lang w:val="pl-PL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2026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прогноз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  <w:tc>
          <w:tcPr>
            <w:tcW w:w="1843" w:type="dxa"/>
          </w:tcPr>
          <w:p w:rsidR="0053257A" w:rsidRPr="0053257A" w:rsidRDefault="0053257A" w:rsidP="0053257A">
            <w:pPr>
              <w:spacing w:before="239" w:after="120"/>
              <w:ind w:left="328" w:firstLine="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2027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прогноз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  <w:tc>
          <w:tcPr>
            <w:tcW w:w="1701" w:type="dxa"/>
          </w:tcPr>
          <w:p w:rsidR="0053257A" w:rsidRPr="0053257A" w:rsidRDefault="0053257A" w:rsidP="0053257A">
            <w:pPr>
              <w:spacing w:before="239" w:after="120"/>
              <w:ind w:left="329" w:firstLine="7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2028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прогноз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  <w:tc>
          <w:tcPr>
            <w:tcW w:w="1843" w:type="dxa"/>
          </w:tcPr>
          <w:p w:rsidR="0053257A" w:rsidRPr="0053257A" w:rsidRDefault="0053257A" w:rsidP="0053257A">
            <w:pPr>
              <w:spacing w:before="239" w:after="120"/>
              <w:ind w:left="25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Разом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2026-</w:t>
            </w: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2028</w:t>
            </w:r>
            <w:r w:rsidRPr="0053257A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роки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прогноз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</w:tr>
      <w:tr w:rsidR="0053257A" w:rsidRPr="0053257A" w:rsidTr="0053257A">
        <w:trPr>
          <w:trHeight w:val="323"/>
        </w:trPr>
        <w:tc>
          <w:tcPr>
            <w:tcW w:w="2551" w:type="dxa"/>
          </w:tcPr>
          <w:p w:rsidR="0053257A" w:rsidRDefault="0053257A" w:rsidP="0053257A">
            <w:pPr>
              <w:tabs>
                <w:tab w:val="left" w:pos="2268"/>
                <w:tab w:val="left" w:pos="2551"/>
              </w:tabs>
              <w:spacing w:line="303" w:lineRule="exact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Бюджет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Сокальської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громади</w:t>
            </w:r>
            <w:proofErr w:type="spellEnd"/>
          </w:p>
          <w:p w:rsidR="00354BEB" w:rsidRPr="0053257A" w:rsidRDefault="00354BEB" w:rsidP="0053257A">
            <w:pPr>
              <w:tabs>
                <w:tab w:val="left" w:pos="2268"/>
                <w:tab w:val="left" w:pos="2551"/>
              </w:tabs>
              <w:spacing w:line="303" w:lineRule="exact"/>
              <w:ind w:right="1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53257A" w:rsidRPr="0053257A" w:rsidRDefault="0053257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8 021,700</w:t>
            </w:r>
          </w:p>
        </w:tc>
        <w:tc>
          <w:tcPr>
            <w:tcW w:w="1843" w:type="dxa"/>
            <w:vAlign w:val="center"/>
          </w:tcPr>
          <w:p w:rsidR="0053257A" w:rsidRPr="0053257A" w:rsidRDefault="0053257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1 076,700</w:t>
            </w:r>
          </w:p>
        </w:tc>
        <w:tc>
          <w:tcPr>
            <w:tcW w:w="1701" w:type="dxa"/>
            <w:vAlign w:val="center"/>
          </w:tcPr>
          <w:p w:rsidR="0053257A" w:rsidRPr="0053257A" w:rsidRDefault="0053257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8 078,800</w:t>
            </w:r>
          </w:p>
        </w:tc>
        <w:tc>
          <w:tcPr>
            <w:tcW w:w="1843" w:type="dxa"/>
            <w:vAlign w:val="center"/>
          </w:tcPr>
          <w:p w:rsidR="0053257A" w:rsidRPr="0053257A" w:rsidRDefault="0053257A" w:rsidP="0053257A">
            <w:pPr>
              <w:spacing w:line="303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17 177,200</w:t>
            </w:r>
          </w:p>
        </w:tc>
      </w:tr>
      <w:tr w:rsidR="0053257A" w:rsidRPr="0053257A" w:rsidTr="0053257A">
        <w:trPr>
          <w:trHeight w:val="323"/>
        </w:trPr>
        <w:tc>
          <w:tcPr>
            <w:tcW w:w="2551" w:type="dxa"/>
          </w:tcPr>
          <w:p w:rsidR="0053257A" w:rsidRPr="0053257A" w:rsidRDefault="0053257A" w:rsidP="0053257A">
            <w:pPr>
              <w:tabs>
                <w:tab w:val="left" w:pos="1984"/>
              </w:tabs>
              <w:spacing w:line="303" w:lineRule="exact"/>
              <w:ind w:right="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Кошти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залучені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міжнародних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фінансових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організацій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урядів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країн</w:t>
            </w:r>
            <w:proofErr w:type="spellEnd"/>
            <w:proofErr w:type="gram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джерела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заборонені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чинним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законодавством</w:t>
            </w:r>
            <w:proofErr w:type="spellEnd"/>
          </w:p>
        </w:tc>
        <w:tc>
          <w:tcPr>
            <w:tcW w:w="1701" w:type="dxa"/>
            <w:vAlign w:val="center"/>
          </w:tcPr>
          <w:p w:rsidR="0053257A" w:rsidRPr="0053257A" w:rsidRDefault="0053257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  <w:lang w:val="ru-RU"/>
              </w:rPr>
              <w:t>23 806,600</w:t>
            </w:r>
          </w:p>
        </w:tc>
        <w:tc>
          <w:tcPr>
            <w:tcW w:w="1843" w:type="dxa"/>
            <w:vAlign w:val="center"/>
          </w:tcPr>
          <w:p w:rsidR="0053257A" w:rsidRPr="0053257A" w:rsidRDefault="00D27C5B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50 000,000</w:t>
            </w:r>
          </w:p>
        </w:tc>
        <w:tc>
          <w:tcPr>
            <w:tcW w:w="1701" w:type="dxa"/>
            <w:vAlign w:val="center"/>
          </w:tcPr>
          <w:p w:rsidR="0053257A" w:rsidRPr="0053257A" w:rsidRDefault="00D27C5B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59 947,900</w:t>
            </w:r>
          </w:p>
        </w:tc>
        <w:tc>
          <w:tcPr>
            <w:tcW w:w="1843" w:type="dxa"/>
            <w:vAlign w:val="center"/>
          </w:tcPr>
          <w:p w:rsidR="0053257A" w:rsidRPr="0053257A" w:rsidRDefault="00D27C5B" w:rsidP="0053257A">
            <w:pPr>
              <w:spacing w:line="303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133 754,500</w:t>
            </w:r>
          </w:p>
        </w:tc>
      </w:tr>
      <w:tr w:rsidR="0053257A" w:rsidRPr="0053257A" w:rsidTr="0053257A">
        <w:trPr>
          <w:trHeight w:val="323"/>
        </w:trPr>
        <w:tc>
          <w:tcPr>
            <w:tcW w:w="2551" w:type="dxa"/>
          </w:tcPr>
          <w:p w:rsidR="0053257A" w:rsidRPr="0053257A" w:rsidRDefault="0053257A" w:rsidP="0053257A">
            <w:pPr>
              <w:spacing w:line="303" w:lineRule="exact"/>
              <w:ind w:right="7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701" w:type="dxa"/>
            <w:vAlign w:val="center"/>
          </w:tcPr>
          <w:p w:rsidR="0053257A" w:rsidRPr="0053257A" w:rsidRDefault="003B37E9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20 000,000</w:t>
            </w:r>
          </w:p>
        </w:tc>
        <w:tc>
          <w:tcPr>
            <w:tcW w:w="1843" w:type="dxa"/>
            <w:vAlign w:val="center"/>
          </w:tcPr>
          <w:p w:rsidR="0053257A" w:rsidRPr="0053257A" w:rsidRDefault="003B37E9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25 000,000</w:t>
            </w:r>
          </w:p>
        </w:tc>
        <w:tc>
          <w:tcPr>
            <w:tcW w:w="1701" w:type="dxa"/>
            <w:vAlign w:val="center"/>
          </w:tcPr>
          <w:p w:rsidR="0053257A" w:rsidRPr="0053257A" w:rsidRDefault="003B37E9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20 000,000</w:t>
            </w:r>
          </w:p>
        </w:tc>
        <w:tc>
          <w:tcPr>
            <w:tcW w:w="1843" w:type="dxa"/>
            <w:vAlign w:val="center"/>
          </w:tcPr>
          <w:p w:rsidR="0053257A" w:rsidRPr="0053257A" w:rsidRDefault="003B37E9" w:rsidP="0053257A">
            <w:pPr>
              <w:spacing w:line="303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65 000,000</w:t>
            </w:r>
          </w:p>
        </w:tc>
      </w:tr>
      <w:tr w:rsidR="0053257A" w:rsidRPr="0053257A" w:rsidTr="0053257A">
        <w:trPr>
          <w:trHeight w:val="323"/>
        </w:trPr>
        <w:tc>
          <w:tcPr>
            <w:tcW w:w="2551" w:type="dxa"/>
          </w:tcPr>
          <w:p w:rsidR="0053257A" w:rsidRPr="0053257A" w:rsidRDefault="0053257A" w:rsidP="0053257A">
            <w:pPr>
              <w:spacing w:line="303" w:lineRule="exact"/>
              <w:ind w:right="76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Державний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бюджет</w:t>
            </w:r>
          </w:p>
        </w:tc>
        <w:tc>
          <w:tcPr>
            <w:tcW w:w="1701" w:type="dxa"/>
            <w:vAlign w:val="center"/>
          </w:tcPr>
          <w:p w:rsidR="0053257A" w:rsidRPr="0053257A" w:rsidRDefault="000E733B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47 326,</w:t>
            </w:r>
            <w:r w:rsidR="00D27C5B">
              <w:rPr>
                <w:rFonts w:ascii="Times New Roman" w:eastAsia="Times New Roman" w:hAnsi="Times New Roman" w:cs="Times New Roman"/>
                <w:sz w:val="28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1843" w:type="dxa"/>
            <w:vAlign w:val="center"/>
          </w:tcPr>
          <w:p w:rsidR="0053257A" w:rsidRPr="0053257A" w:rsidRDefault="000E733B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40 000,000</w:t>
            </w:r>
          </w:p>
        </w:tc>
        <w:tc>
          <w:tcPr>
            <w:tcW w:w="1701" w:type="dxa"/>
            <w:vAlign w:val="center"/>
          </w:tcPr>
          <w:p w:rsidR="0053257A" w:rsidRPr="0053257A" w:rsidRDefault="000E733B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40 000,000</w:t>
            </w:r>
          </w:p>
        </w:tc>
        <w:tc>
          <w:tcPr>
            <w:tcW w:w="1843" w:type="dxa"/>
            <w:vAlign w:val="center"/>
          </w:tcPr>
          <w:p w:rsidR="0053257A" w:rsidRPr="0053257A" w:rsidRDefault="00B90B88" w:rsidP="0053257A">
            <w:pPr>
              <w:spacing w:line="303" w:lineRule="exact"/>
              <w:ind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127 326,</w:t>
            </w:r>
            <w:r w:rsidR="00D27C5B">
              <w:rPr>
                <w:rFonts w:ascii="Times New Roman" w:eastAsia="Times New Roman" w:hAnsi="Times New Roman" w:cs="Times New Roman"/>
                <w:sz w:val="28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</w:tr>
      <w:tr w:rsidR="0053257A" w:rsidRPr="0053257A" w:rsidTr="0053257A">
        <w:trPr>
          <w:trHeight w:val="323"/>
        </w:trPr>
        <w:tc>
          <w:tcPr>
            <w:tcW w:w="2551" w:type="dxa"/>
          </w:tcPr>
          <w:p w:rsidR="0053257A" w:rsidRPr="0053257A" w:rsidRDefault="0053257A" w:rsidP="0053257A">
            <w:pPr>
              <w:spacing w:line="303" w:lineRule="exact"/>
              <w:ind w:right="76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Разом</w:t>
            </w:r>
          </w:p>
        </w:tc>
        <w:tc>
          <w:tcPr>
            <w:tcW w:w="1701" w:type="dxa"/>
          </w:tcPr>
          <w:p w:rsidR="0053257A" w:rsidRPr="0053257A" w:rsidRDefault="00BE55B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99 154,800</w:t>
            </w:r>
          </w:p>
        </w:tc>
        <w:tc>
          <w:tcPr>
            <w:tcW w:w="1843" w:type="dxa"/>
          </w:tcPr>
          <w:p w:rsidR="0053257A" w:rsidRPr="0053257A" w:rsidRDefault="00BE55B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116 076,700</w:t>
            </w:r>
          </w:p>
        </w:tc>
        <w:tc>
          <w:tcPr>
            <w:tcW w:w="1701" w:type="dxa"/>
          </w:tcPr>
          <w:p w:rsidR="0053257A" w:rsidRPr="0053257A" w:rsidRDefault="00BE55BA" w:rsidP="0053257A">
            <w:pPr>
              <w:spacing w:line="303" w:lineRule="exact"/>
              <w:ind w:right="7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128 026,700</w:t>
            </w:r>
          </w:p>
        </w:tc>
        <w:tc>
          <w:tcPr>
            <w:tcW w:w="1843" w:type="dxa"/>
          </w:tcPr>
          <w:p w:rsidR="0053257A" w:rsidRPr="0053257A" w:rsidRDefault="00BE55BA" w:rsidP="0053257A">
            <w:pPr>
              <w:spacing w:line="303" w:lineRule="exact"/>
              <w:ind w:right="7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343 258,200</w:t>
            </w:r>
          </w:p>
        </w:tc>
      </w:tr>
    </w:tbl>
    <w:p w:rsidR="0053257A" w:rsidRPr="0053257A" w:rsidRDefault="0053257A" w:rsidP="0053257A">
      <w:pPr>
        <w:widowControl w:val="0"/>
        <w:autoSpaceDE w:val="0"/>
        <w:autoSpaceDN w:val="0"/>
        <w:spacing w:before="316" w:after="120" w:line="240" w:lineRule="auto"/>
        <w:ind w:left="-142" w:right="15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57A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r w:rsidRPr="0053257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>орієнтовного</w:t>
      </w:r>
      <w:r w:rsidRPr="005325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>граничного</w:t>
      </w:r>
      <w:r w:rsidRPr="005325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>сукупного</w:t>
      </w:r>
      <w:r w:rsidRPr="005325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>обсягу</w:t>
      </w:r>
      <w:r w:rsidRPr="005325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>публічних</w:t>
      </w:r>
      <w:r w:rsidRPr="0053257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z w:val="28"/>
          <w:szCs w:val="28"/>
        </w:rPr>
        <w:t xml:space="preserve">інвестицій на 2026, 2027, 2028 роки на сектори (галузі)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</w:t>
      </w:r>
      <w:r w:rsidRPr="0053257A">
        <w:rPr>
          <w:rFonts w:ascii="Times New Roman" w:eastAsia="Times New Roman" w:hAnsi="Times New Roman" w:cs="Times New Roman"/>
          <w:spacing w:val="-2"/>
          <w:sz w:val="28"/>
          <w:szCs w:val="28"/>
        </w:rPr>
        <w:t>структуру:</w:t>
      </w:r>
    </w:p>
    <w:p w:rsidR="0053257A" w:rsidRPr="0053257A" w:rsidRDefault="0053257A" w:rsidP="0053257A">
      <w:pPr>
        <w:widowControl w:val="0"/>
        <w:autoSpaceDE w:val="0"/>
        <w:autoSpaceDN w:val="0"/>
        <w:spacing w:after="120" w:line="240" w:lineRule="auto"/>
        <w:ind w:right="1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3257A">
        <w:rPr>
          <w:rFonts w:ascii="Times New Roman" w:eastAsia="Times New Roman" w:hAnsi="Times New Roman" w:cs="Times New Roman"/>
          <w:sz w:val="28"/>
          <w:szCs w:val="28"/>
        </w:rPr>
        <w:t>тис.</w:t>
      </w:r>
      <w:r w:rsidRPr="0053257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53257A">
        <w:rPr>
          <w:rFonts w:ascii="Times New Roman" w:eastAsia="Times New Roman" w:hAnsi="Times New Roman" w:cs="Times New Roman"/>
          <w:spacing w:val="-4"/>
          <w:sz w:val="28"/>
          <w:szCs w:val="28"/>
        </w:rPr>
        <w:t>грн.</w:t>
      </w:r>
    </w:p>
    <w:tbl>
      <w:tblPr>
        <w:tblStyle w:val="TableNormal"/>
        <w:tblW w:w="963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27"/>
        <w:gridCol w:w="1727"/>
        <w:gridCol w:w="1728"/>
        <w:gridCol w:w="2047"/>
      </w:tblGrid>
      <w:tr w:rsidR="0053257A" w:rsidRPr="0053257A" w:rsidTr="0053257A">
        <w:trPr>
          <w:trHeight w:val="1487"/>
        </w:trPr>
        <w:tc>
          <w:tcPr>
            <w:tcW w:w="2410" w:type="dxa"/>
          </w:tcPr>
          <w:p w:rsidR="0053257A" w:rsidRPr="0053257A" w:rsidRDefault="0053257A" w:rsidP="0053257A">
            <w:pPr>
              <w:spacing w:before="98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Галузь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 xml:space="preserve"> </w:t>
            </w:r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(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сектор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)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Граничний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розподіл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2026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Граничний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розподіл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2027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before="9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Граничний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розподіл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18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2028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рік</w:t>
            </w:r>
            <w:proofErr w:type="spellEnd"/>
          </w:p>
        </w:tc>
        <w:tc>
          <w:tcPr>
            <w:tcW w:w="2047" w:type="dxa"/>
          </w:tcPr>
          <w:p w:rsidR="0053257A" w:rsidRPr="0053257A" w:rsidRDefault="0053257A" w:rsidP="0053257A">
            <w:pPr>
              <w:spacing w:before="98"/>
              <w:ind w:left="63" w:hanging="6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Граничний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розподіл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на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середньостро-ковий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період</w:t>
            </w:r>
            <w:proofErr w:type="spellEnd"/>
          </w:p>
        </w:tc>
      </w:tr>
      <w:tr w:rsidR="0053257A" w:rsidRPr="0053257A" w:rsidTr="0053257A">
        <w:trPr>
          <w:trHeight w:val="740"/>
        </w:trPr>
        <w:tc>
          <w:tcPr>
            <w:tcW w:w="2410" w:type="dxa"/>
            <w:vAlign w:val="bottom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Муніципальна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інфраструктура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послуги</w:t>
            </w:r>
            <w:proofErr w:type="spellEnd"/>
          </w:p>
        </w:tc>
        <w:tc>
          <w:tcPr>
            <w:tcW w:w="1727" w:type="dxa"/>
            <w:vAlign w:val="center"/>
          </w:tcPr>
          <w:p w:rsidR="0053257A" w:rsidRPr="0053257A" w:rsidRDefault="0053257A" w:rsidP="0053257A">
            <w:pPr>
              <w:spacing w:line="315" w:lineRule="exact"/>
              <w:ind w:left="40"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4 021,700</w:t>
            </w:r>
          </w:p>
        </w:tc>
        <w:tc>
          <w:tcPr>
            <w:tcW w:w="1727" w:type="dxa"/>
            <w:vAlign w:val="center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1 076,700</w:t>
            </w:r>
          </w:p>
        </w:tc>
        <w:tc>
          <w:tcPr>
            <w:tcW w:w="1728" w:type="dxa"/>
            <w:vAlign w:val="center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4 078,800</w:t>
            </w:r>
          </w:p>
        </w:tc>
        <w:tc>
          <w:tcPr>
            <w:tcW w:w="2047" w:type="dxa"/>
            <w:vAlign w:val="center"/>
          </w:tcPr>
          <w:p w:rsidR="0053257A" w:rsidRPr="00396ED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6EDA">
              <w:rPr>
                <w:rFonts w:ascii="Times New Roman" w:eastAsia="Times New Roman" w:hAnsi="Times New Roman" w:cs="Times New Roman"/>
                <w:sz w:val="28"/>
              </w:rPr>
              <w:t>9 177,200</w:t>
            </w:r>
          </w:p>
        </w:tc>
      </w:tr>
      <w:tr w:rsidR="0053257A" w:rsidRPr="0053257A" w:rsidTr="0053257A">
        <w:trPr>
          <w:trHeight w:val="551"/>
        </w:trPr>
        <w:tc>
          <w:tcPr>
            <w:tcW w:w="2410" w:type="dxa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Освіта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і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наука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5" w:lineRule="exact"/>
              <w:ind w:left="40"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2 500,000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2 700,000</w:t>
            </w:r>
          </w:p>
        </w:tc>
        <w:tc>
          <w:tcPr>
            <w:tcW w:w="2047" w:type="dxa"/>
          </w:tcPr>
          <w:p w:rsidR="0053257A" w:rsidRPr="00396EDA" w:rsidRDefault="0053257A" w:rsidP="0053257A">
            <w:pPr>
              <w:spacing w:line="315" w:lineRule="exact"/>
              <w:ind w:left="4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6EDA">
              <w:rPr>
                <w:rFonts w:ascii="Times New Roman" w:eastAsia="Times New Roman" w:hAnsi="Times New Roman" w:cs="Times New Roman"/>
                <w:sz w:val="28"/>
              </w:rPr>
              <w:t>5 200,000</w:t>
            </w:r>
          </w:p>
        </w:tc>
      </w:tr>
      <w:tr w:rsidR="0053257A" w:rsidRPr="0053257A" w:rsidTr="0053257A">
        <w:trPr>
          <w:trHeight w:val="632"/>
        </w:trPr>
        <w:tc>
          <w:tcPr>
            <w:tcW w:w="2410" w:type="dxa"/>
          </w:tcPr>
          <w:p w:rsidR="0053257A" w:rsidRPr="0053257A" w:rsidRDefault="0053257A" w:rsidP="0053257A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Охорона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здоров'я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1 000,000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1 000,000</w:t>
            </w:r>
          </w:p>
        </w:tc>
        <w:tc>
          <w:tcPr>
            <w:tcW w:w="2047" w:type="dxa"/>
          </w:tcPr>
          <w:p w:rsidR="0053257A" w:rsidRPr="00396EDA" w:rsidRDefault="0053257A" w:rsidP="0053257A">
            <w:pPr>
              <w:spacing w:line="322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6EDA">
              <w:rPr>
                <w:rFonts w:ascii="Times New Roman" w:eastAsia="Times New Roman" w:hAnsi="Times New Roman" w:cs="Times New Roman"/>
                <w:sz w:val="28"/>
              </w:rPr>
              <w:t>2 000,000</w:t>
            </w:r>
          </w:p>
        </w:tc>
      </w:tr>
      <w:tr w:rsidR="0053257A" w:rsidRPr="0053257A" w:rsidTr="0053257A">
        <w:trPr>
          <w:trHeight w:val="632"/>
        </w:trPr>
        <w:tc>
          <w:tcPr>
            <w:tcW w:w="2410" w:type="dxa"/>
          </w:tcPr>
          <w:p w:rsidR="0053257A" w:rsidRPr="0053257A" w:rsidRDefault="0053257A" w:rsidP="0053257A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Культура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та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інформація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300,000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300,000</w:t>
            </w:r>
          </w:p>
        </w:tc>
        <w:tc>
          <w:tcPr>
            <w:tcW w:w="2047" w:type="dxa"/>
          </w:tcPr>
          <w:p w:rsidR="0053257A" w:rsidRPr="00396EDA" w:rsidRDefault="0053257A" w:rsidP="0053257A">
            <w:pPr>
              <w:spacing w:line="322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6EDA">
              <w:rPr>
                <w:rFonts w:ascii="Times New Roman" w:eastAsia="Times New Roman" w:hAnsi="Times New Roman" w:cs="Times New Roman"/>
                <w:sz w:val="28"/>
              </w:rPr>
              <w:t>600,000</w:t>
            </w:r>
          </w:p>
        </w:tc>
      </w:tr>
      <w:tr w:rsidR="0053257A" w:rsidRPr="0053257A" w:rsidTr="0053257A">
        <w:trPr>
          <w:trHeight w:val="632"/>
        </w:trPr>
        <w:tc>
          <w:tcPr>
            <w:tcW w:w="2410" w:type="dxa"/>
          </w:tcPr>
          <w:p w:rsidR="0053257A" w:rsidRPr="0053257A" w:rsidRDefault="0053257A" w:rsidP="0053257A">
            <w:pPr>
              <w:spacing w:before="4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lastRenderedPageBreak/>
              <w:t>Соціальна</w:t>
            </w:r>
            <w:proofErr w:type="spellEnd"/>
            <w:r w:rsidRPr="0053257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53257A">
              <w:rPr>
                <w:rFonts w:ascii="Times New Roman" w:eastAsia="Times New Roman" w:hAnsi="Times New Roman" w:cs="Times New Roman"/>
                <w:sz w:val="28"/>
              </w:rPr>
              <w:t>сфера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200,000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17" w:lineRule="exact"/>
              <w:ind w:right="1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line="317" w:lineRule="exact"/>
              <w:ind w:right="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sz w:val="28"/>
              </w:rPr>
              <w:t>0,00</w:t>
            </w:r>
          </w:p>
        </w:tc>
        <w:tc>
          <w:tcPr>
            <w:tcW w:w="2047" w:type="dxa"/>
          </w:tcPr>
          <w:p w:rsidR="0053257A" w:rsidRPr="00396EDA" w:rsidRDefault="0053257A" w:rsidP="0053257A">
            <w:pPr>
              <w:spacing w:line="322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96EDA">
              <w:rPr>
                <w:rFonts w:ascii="Times New Roman" w:eastAsia="Times New Roman" w:hAnsi="Times New Roman" w:cs="Times New Roman"/>
                <w:sz w:val="28"/>
              </w:rPr>
              <w:t>200,000</w:t>
            </w:r>
          </w:p>
        </w:tc>
      </w:tr>
      <w:tr w:rsidR="0053257A" w:rsidRPr="0053257A" w:rsidTr="0053257A">
        <w:trPr>
          <w:trHeight w:val="465"/>
        </w:trPr>
        <w:tc>
          <w:tcPr>
            <w:tcW w:w="2410" w:type="dxa"/>
          </w:tcPr>
          <w:p w:rsidR="0053257A" w:rsidRPr="0053257A" w:rsidRDefault="0053257A" w:rsidP="0053257A">
            <w:pPr>
              <w:spacing w:before="47"/>
              <w:ind w:left="4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53257A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Разом</w:t>
            </w:r>
            <w:proofErr w:type="spellEnd"/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06" w:lineRule="exact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8 021,700</w:t>
            </w:r>
          </w:p>
        </w:tc>
        <w:tc>
          <w:tcPr>
            <w:tcW w:w="1727" w:type="dxa"/>
          </w:tcPr>
          <w:p w:rsidR="0053257A" w:rsidRPr="0053257A" w:rsidRDefault="0053257A" w:rsidP="0053257A">
            <w:pPr>
              <w:spacing w:line="306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1 076,700</w:t>
            </w:r>
          </w:p>
        </w:tc>
        <w:tc>
          <w:tcPr>
            <w:tcW w:w="1728" w:type="dxa"/>
          </w:tcPr>
          <w:p w:rsidR="0053257A" w:rsidRPr="0053257A" w:rsidRDefault="0053257A" w:rsidP="0053257A">
            <w:pPr>
              <w:spacing w:line="306" w:lineRule="exact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8 078,800</w:t>
            </w:r>
          </w:p>
        </w:tc>
        <w:tc>
          <w:tcPr>
            <w:tcW w:w="2047" w:type="dxa"/>
          </w:tcPr>
          <w:p w:rsidR="0053257A" w:rsidRPr="0053257A" w:rsidRDefault="0053257A" w:rsidP="0053257A">
            <w:pPr>
              <w:spacing w:line="306" w:lineRule="exact"/>
              <w:ind w:right="18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3257A">
              <w:rPr>
                <w:rFonts w:ascii="Times New Roman" w:eastAsia="Times New Roman" w:hAnsi="Times New Roman" w:cs="Times New Roman"/>
                <w:b/>
                <w:sz w:val="28"/>
              </w:rPr>
              <w:t>17 177,200</w:t>
            </w:r>
          </w:p>
        </w:tc>
      </w:tr>
    </w:tbl>
    <w:p w:rsidR="0053257A" w:rsidRPr="0053257A" w:rsidRDefault="0053257A" w:rsidP="0053257A"/>
    <w:p w:rsidR="00006AD7" w:rsidRPr="00A9523F" w:rsidRDefault="001062D6" w:rsidP="001062D6">
      <w:pPr>
        <w:spacing w:after="120" w:line="259" w:lineRule="auto"/>
        <w:jc w:val="center"/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  <w:r w:rsidRPr="00A9523F">
        <w:rPr>
          <w:rFonts w:ascii="Times New Roman" w:eastAsia="Calibri" w:hAnsi="Times New Roman" w:cs="Times New Roman"/>
          <w:b/>
          <w:bCs/>
          <w:i/>
          <w:kern w:val="2"/>
          <w:sz w:val="28"/>
          <w:szCs w:val="28"/>
          <w14:ligatures w14:val="standardContextual"/>
        </w:rPr>
        <w:t>Підсумки та перспективи</w:t>
      </w:r>
    </w:p>
    <w:p w:rsidR="00A63B90" w:rsidRDefault="006A65B1" w:rsidP="00A63B90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6A65B1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Середньостроковий план є документом місцевого рівня, що формує основу для якісно нового підходу до управління пу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блічними інвестиціями в громаді</w:t>
      </w:r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:rsidR="00006AD7" w:rsidRPr="00006AD7" w:rsidRDefault="00006AD7" w:rsidP="00A63B90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Визначення наскрізних стратегічних цілей, узгодження з наявними стратегічними документами, продовження та завершення розпочатих </w:t>
      </w:r>
      <w:proofErr w:type="spellStart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проєктів</w:t>
      </w:r>
      <w:proofErr w:type="spellEnd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і програм, а також закріплення пріоритетних галузей (секторів) і основних напрямів публічного інвестування забезпечують спрямування ресурсів на реалізацію ключових пріоритетів розвитку </w:t>
      </w:r>
      <w:r w:rsidR="00A63B9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громади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. 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</w:t>
      </w:r>
      <w:r w:rsidR="00A63B90" w:rsidRPr="00A63B90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державної, обласної та місцевої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підтримки у середньостроковому періоді.</w:t>
      </w:r>
    </w:p>
    <w:p w:rsidR="00006AD7" w:rsidRPr="00006AD7" w:rsidRDefault="00006AD7" w:rsidP="00006AD7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Визначення напрямів публічного інвестування відповідних галузей (секторів) для публічного інвестування має ключове значення для п</w:t>
      </w:r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одальшої підготовки, оцінки </w:t>
      </w:r>
      <w:proofErr w:type="spellStart"/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ктів</w:t>
      </w:r>
      <w:proofErr w:type="spellEnd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та програм,</w:t>
      </w:r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а також формування єдиного </w:t>
      </w:r>
      <w:proofErr w:type="spellStart"/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ктного</w:t>
      </w:r>
      <w:proofErr w:type="spellEnd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портфеля публічних інвестицій </w:t>
      </w:r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громади і галузевих (секторальних) </w:t>
      </w:r>
      <w:proofErr w:type="spellStart"/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ктних</w:t>
      </w:r>
      <w:proofErr w:type="spellEnd"/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портфелів </w:t>
      </w:r>
      <w:r w:rsidR="00F44ED3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громади</w:t>
      </w:r>
      <w:r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:rsidR="00006AD7" w:rsidRPr="00006AD7" w:rsidRDefault="00F44ED3" w:rsidP="00006AD7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Підготовка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ктів</w:t>
      </w:r>
      <w:proofErr w:type="spellEnd"/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та програм передбачає обов’язкове визначення напряму публічного інвестування у відповідній галузі (</w:t>
      </w: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секторі), з яким пов’язаний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</w:t>
      </w:r>
      <w:proofErr w:type="spellEnd"/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чи програма, а також узгодження мети та цілей проекту з таким напрямом.</w:t>
      </w:r>
    </w:p>
    <w:p w:rsidR="00006AD7" w:rsidRPr="00006AD7" w:rsidRDefault="009C23A6" w:rsidP="00006AD7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Оцінка </w:t>
      </w:r>
      <w:proofErr w:type="spellStart"/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</w:t>
      </w:r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ктів</w:t>
      </w:r>
      <w:proofErr w:type="spellEnd"/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та програм включає оцінку відповідності (</w:t>
      </w:r>
      <w:proofErr w:type="spellStart"/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скринінг</w:t>
      </w:r>
      <w:proofErr w:type="spellEnd"/>
      <w:r w:rsidR="00006AD7" w:rsidRPr="00006AD7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), галузеву (секторальну) експертну оцінку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:rsidR="00006AD7" w:rsidRDefault="009C23A6" w:rsidP="00006AD7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Без визначення напрямів для публічного інвестування неможлива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пріоритезація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проєктів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, які включені до галузевого (секторального)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проєктного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портфеля.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Пріоритезація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проєктів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здійснюється в межах напряму відповідно до критеріїв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пріоритезації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, визначених міністерством, відповідальним за реалізацію державної політики у відповідній галузі (секторі), та передбачає розрахунок пріоритетності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проєктів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за бальною </w:t>
      </w:r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системою з метою формування рейтингових списків таких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проєктів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за кожним напрямом публічного інвестування.</w:t>
      </w:r>
    </w:p>
    <w:p w:rsidR="009C23A6" w:rsidRDefault="009C23A6" w:rsidP="00006AD7">
      <w:pPr>
        <w:spacing w:after="120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подальшому лише ті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проєкти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та програми, що включені до галузевого (секторального)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проєктного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портфеля та відповідають основним напрямам публічного інвестування, визначеним в Додатку 1 до середньострокового плану, можуть бути включені в Єдиний </w:t>
      </w:r>
      <w:proofErr w:type="spellStart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>проєктний</w:t>
      </w:r>
      <w:proofErr w:type="spellEnd"/>
      <w:r w:rsidRPr="009C23A6"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  <w:t xml:space="preserve"> портфель публічних інвестицій держави та, відповідно, зможуть отримати фінансування за рахунок коштів державного бюджету та / або з наданням державної підтримки.</w:t>
      </w:r>
    </w:p>
    <w:sectPr w:rsidR="009C2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29C"/>
    <w:multiLevelType w:val="multilevel"/>
    <w:tmpl w:val="B764EE0A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1D35"/>
        <w:sz w:val="24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1D35"/>
        <w:sz w:val="24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1D35"/>
        <w:sz w:val="24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1D35"/>
        <w:sz w:val="24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1D35"/>
        <w:sz w:val="24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1D35"/>
        <w:sz w:val="24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1D35"/>
        <w:sz w:val="24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1D35"/>
        <w:sz w:val="24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1D35"/>
        <w:sz w:val="24"/>
      </w:rPr>
    </w:lvl>
  </w:abstractNum>
  <w:abstractNum w:abstractNumId="1">
    <w:nsid w:val="2C9B76A2"/>
    <w:multiLevelType w:val="hybridMultilevel"/>
    <w:tmpl w:val="D9E496E0"/>
    <w:lvl w:ilvl="0" w:tplc="F4D2A4B8"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3DCF78EE"/>
    <w:multiLevelType w:val="hybridMultilevel"/>
    <w:tmpl w:val="2C0403FA"/>
    <w:lvl w:ilvl="0" w:tplc="5B787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54156"/>
    <w:multiLevelType w:val="hybridMultilevel"/>
    <w:tmpl w:val="6A304E6C"/>
    <w:lvl w:ilvl="0" w:tplc="5B7871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326BF"/>
    <w:multiLevelType w:val="hybridMultilevel"/>
    <w:tmpl w:val="5C3AB2D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D7"/>
    <w:rsid w:val="00006AD7"/>
    <w:rsid w:val="00081A58"/>
    <w:rsid w:val="000E733B"/>
    <w:rsid w:val="000F22B4"/>
    <w:rsid w:val="001062D6"/>
    <w:rsid w:val="0013023D"/>
    <w:rsid w:val="00200DB7"/>
    <w:rsid w:val="00234046"/>
    <w:rsid w:val="00245BE3"/>
    <w:rsid w:val="002D2624"/>
    <w:rsid w:val="00316B6F"/>
    <w:rsid w:val="00354BEB"/>
    <w:rsid w:val="00396EDA"/>
    <w:rsid w:val="003B37E9"/>
    <w:rsid w:val="003F1B0A"/>
    <w:rsid w:val="004157D9"/>
    <w:rsid w:val="004D3187"/>
    <w:rsid w:val="0053257A"/>
    <w:rsid w:val="00593C4F"/>
    <w:rsid w:val="005B164B"/>
    <w:rsid w:val="006A65B1"/>
    <w:rsid w:val="0070341E"/>
    <w:rsid w:val="00873C48"/>
    <w:rsid w:val="00875468"/>
    <w:rsid w:val="00877F45"/>
    <w:rsid w:val="008C5472"/>
    <w:rsid w:val="00920647"/>
    <w:rsid w:val="009559A8"/>
    <w:rsid w:val="00963D8A"/>
    <w:rsid w:val="009C23A6"/>
    <w:rsid w:val="009F325B"/>
    <w:rsid w:val="00A36F6D"/>
    <w:rsid w:val="00A63B90"/>
    <w:rsid w:val="00A9523F"/>
    <w:rsid w:val="00AC28EA"/>
    <w:rsid w:val="00AE792A"/>
    <w:rsid w:val="00B0187C"/>
    <w:rsid w:val="00B2435D"/>
    <w:rsid w:val="00B438A7"/>
    <w:rsid w:val="00B46853"/>
    <w:rsid w:val="00B90136"/>
    <w:rsid w:val="00B90B88"/>
    <w:rsid w:val="00BD0ED2"/>
    <w:rsid w:val="00BE55BA"/>
    <w:rsid w:val="00C1412E"/>
    <w:rsid w:val="00C832DD"/>
    <w:rsid w:val="00CB0F58"/>
    <w:rsid w:val="00CB3601"/>
    <w:rsid w:val="00D127CB"/>
    <w:rsid w:val="00D1474A"/>
    <w:rsid w:val="00D24EEE"/>
    <w:rsid w:val="00D27C5B"/>
    <w:rsid w:val="00D53D85"/>
    <w:rsid w:val="00D85AEF"/>
    <w:rsid w:val="00DB0244"/>
    <w:rsid w:val="00DC51C5"/>
    <w:rsid w:val="00E26C7E"/>
    <w:rsid w:val="00EA1F31"/>
    <w:rsid w:val="00EE63EA"/>
    <w:rsid w:val="00F447E7"/>
    <w:rsid w:val="00F4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6A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41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25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6AD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41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325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7</Pages>
  <Words>7784</Words>
  <Characters>4438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59</cp:revision>
  <dcterms:created xsi:type="dcterms:W3CDTF">2025-08-20T16:47:00Z</dcterms:created>
  <dcterms:modified xsi:type="dcterms:W3CDTF">2025-08-21T13:56:00Z</dcterms:modified>
</cp:coreProperties>
</file>