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FE" w:rsidRDefault="00D009FE" w:rsidP="001D707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СОКАЛЬСЬКА МІСЬКА РАДА ЛЬВІВСЬКОЇ ОБЛАСТІ</w:t>
      </w:r>
    </w:p>
    <w:p w:rsidR="00D009FE" w:rsidRDefault="00D009FE" w:rsidP="001D707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D009FE" w:rsidRPr="001D7071" w:rsidRDefault="00D009FE" w:rsidP="001D7071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1D7071">
        <w:rPr>
          <w:rFonts w:ascii="Times New Roman" w:eastAsia="Times New Roman" w:hAnsi="Times New Roman"/>
          <w:i/>
          <w:sz w:val="20"/>
          <w:szCs w:val="20"/>
        </w:rPr>
        <w:t>технічних та якісних характеристик, розміру бюджетного призначення, очікуваної вартості предмета закупівлі товару</w:t>
      </w:r>
    </w:p>
    <w:p w:rsidR="00AF4CCC" w:rsidRPr="001801A0" w:rsidRDefault="00AF4CCC" w:rsidP="001801A0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1D7071">
        <w:rPr>
          <w:rFonts w:ascii="Times New Roman" w:eastAsia="Times New Roman" w:hAnsi="Times New Roman"/>
          <w:i/>
          <w:sz w:val="20"/>
          <w:szCs w:val="20"/>
        </w:rPr>
        <w:t xml:space="preserve">за кошти Гранту Європейського Союзу для України та </w:t>
      </w:r>
      <w:proofErr w:type="spellStart"/>
      <w:r w:rsidRPr="001D7071">
        <w:rPr>
          <w:rFonts w:ascii="Times New Roman" w:eastAsia="Times New Roman" w:hAnsi="Times New Roman"/>
          <w:i/>
          <w:sz w:val="20"/>
          <w:szCs w:val="20"/>
        </w:rPr>
        <w:t>співфінансування</w:t>
      </w:r>
      <w:proofErr w:type="spellEnd"/>
      <w:r w:rsidRPr="001D7071">
        <w:rPr>
          <w:rFonts w:ascii="Times New Roman" w:eastAsia="Times New Roman" w:hAnsi="Times New Roman"/>
          <w:i/>
          <w:sz w:val="20"/>
          <w:szCs w:val="20"/>
        </w:rPr>
        <w:t xml:space="preserve"> Сокальської міської ради Львівської області згідно бюджету </w:t>
      </w:r>
      <w:proofErr w:type="spellStart"/>
      <w:r w:rsidRPr="001D7071">
        <w:rPr>
          <w:rFonts w:ascii="Times New Roman" w:eastAsia="Times New Roman" w:hAnsi="Times New Roman"/>
          <w:i/>
          <w:sz w:val="20"/>
          <w:szCs w:val="20"/>
        </w:rPr>
        <w:t>Проєкту</w:t>
      </w:r>
      <w:proofErr w:type="spellEnd"/>
      <w:r w:rsidRPr="001D7071">
        <w:rPr>
          <w:rFonts w:ascii="Times New Roman" w:eastAsia="Times New Roman" w:hAnsi="Times New Roman"/>
          <w:i/>
          <w:sz w:val="20"/>
          <w:szCs w:val="20"/>
        </w:rPr>
        <w:t xml:space="preserve"> № PLUА.01.02-IP.01-0041/23 «Захист прикордонної річки Буг шляхом розширення санітарної мережі в прикордонних </w:t>
      </w:r>
      <w:proofErr w:type="spellStart"/>
      <w:r w:rsidRPr="001D7071">
        <w:rPr>
          <w:rFonts w:ascii="Times New Roman" w:eastAsia="Times New Roman" w:hAnsi="Times New Roman"/>
          <w:i/>
          <w:sz w:val="20"/>
          <w:szCs w:val="20"/>
        </w:rPr>
        <w:t>гмінах</w:t>
      </w:r>
      <w:proofErr w:type="spellEnd"/>
      <w:r w:rsidRPr="001D7071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proofErr w:type="spellStart"/>
      <w:r w:rsidRPr="001D7071">
        <w:rPr>
          <w:rFonts w:ascii="Times New Roman" w:eastAsia="Times New Roman" w:hAnsi="Times New Roman"/>
          <w:i/>
          <w:sz w:val="20"/>
          <w:szCs w:val="20"/>
        </w:rPr>
        <w:t>Долгобичув</w:t>
      </w:r>
      <w:proofErr w:type="spellEnd"/>
      <w:r w:rsidRPr="001D7071">
        <w:rPr>
          <w:rFonts w:ascii="Times New Roman" w:eastAsia="Times New Roman" w:hAnsi="Times New Roman"/>
          <w:i/>
          <w:sz w:val="20"/>
          <w:szCs w:val="20"/>
        </w:rPr>
        <w:t xml:space="preserve"> та </w:t>
      </w:r>
      <w:proofErr w:type="spellStart"/>
      <w:r w:rsidRPr="001D7071">
        <w:rPr>
          <w:rFonts w:ascii="Times New Roman" w:eastAsia="Times New Roman" w:hAnsi="Times New Roman"/>
          <w:i/>
          <w:sz w:val="20"/>
          <w:szCs w:val="20"/>
        </w:rPr>
        <w:t>Сокаль</w:t>
      </w:r>
      <w:proofErr w:type="spellEnd"/>
      <w:r w:rsidRPr="001D7071">
        <w:rPr>
          <w:rFonts w:ascii="Times New Roman" w:eastAsia="Times New Roman" w:hAnsi="Times New Roman"/>
          <w:i/>
          <w:sz w:val="20"/>
          <w:szCs w:val="20"/>
        </w:rPr>
        <w:t xml:space="preserve">» в межах Програми </w:t>
      </w:r>
      <w:proofErr w:type="spellStart"/>
      <w:r w:rsidRPr="001D7071">
        <w:rPr>
          <w:rFonts w:ascii="Times New Roman" w:eastAsia="Times New Roman" w:hAnsi="Times New Roman"/>
          <w:i/>
          <w:sz w:val="20"/>
          <w:szCs w:val="20"/>
        </w:rPr>
        <w:t>Interreg</w:t>
      </w:r>
      <w:proofErr w:type="spellEnd"/>
      <w:r w:rsidRPr="001D7071">
        <w:rPr>
          <w:rFonts w:ascii="Times New Roman" w:eastAsia="Times New Roman" w:hAnsi="Times New Roman"/>
          <w:i/>
          <w:sz w:val="20"/>
          <w:szCs w:val="20"/>
        </w:rPr>
        <w:t xml:space="preserve"> NEXT Польща – Україна 2021-2027</w:t>
      </w:r>
    </w:p>
    <w:p w:rsidR="001801A0" w:rsidRDefault="001801A0" w:rsidP="001801A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801A0">
        <w:rPr>
          <w:rFonts w:ascii="Times New Roman" w:eastAsia="Times New Roman" w:hAnsi="Times New Roman"/>
          <w:b/>
          <w:sz w:val="20"/>
          <w:szCs w:val="20"/>
        </w:rPr>
        <w:t xml:space="preserve">Послуги фінансового менеджера </w:t>
      </w:r>
      <w:proofErr w:type="spellStart"/>
      <w:r w:rsidRPr="001801A0">
        <w:rPr>
          <w:rFonts w:ascii="Times New Roman" w:eastAsia="Times New Roman" w:hAnsi="Times New Roman"/>
          <w:b/>
          <w:sz w:val="20"/>
          <w:szCs w:val="20"/>
        </w:rPr>
        <w:t>проєкту</w:t>
      </w:r>
      <w:proofErr w:type="spellEnd"/>
      <w:r w:rsidRPr="001801A0">
        <w:rPr>
          <w:rFonts w:ascii="Times New Roman" w:eastAsia="Times New Roman" w:hAnsi="Times New Roman"/>
          <w:b/>
          <w:sz w:val="20"/>
          <w:szCs w:val="20"/>
        </w:rPr>
        <w:t xml:space="preserve"> № PLUA.01.02-IP.01-0041/23 «Захист прикордонної річки Буг шляхом розширення санітарної мережі в прикордонних </w:t>
      </w:r>
      <w:proofErr w:type="spellStart"/>
      <w:r w:rsidRPr="001801A0">
        <w:rPr>
          <w:rFonts w:ascii="Times New Roman" w:eastAsia="Times New Roman" w:hAnsi="Times New Roman"/>
          <w:b/>
          <w:sz w:val="20"/>
          <w:szCs w:val="20"/>
        </w:rPr>
        <w:t>гмінах</w:t>
      </w:r>
      <w:proofErr w:type="spellEnd"/>
      <w:r w:rsidRPr="001801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spellStart"/>
      <w:r w:rsidRPr="001801A0">
        <w:rPr>
          <w:rFonts w:ascii="Times New Roman" w:eastAsia="Times New Roman" w:hAnsi="Times New Roman"/>
          <w:b/>
          <w:sz w:val="20"/>
          <w:szCs w:val="20"/>
        </w:rPr>
        <w:t>Долгобичув</w:t>
      </w:r>
      <w:proofErr w:type="spellEnd"/>
      <w:r w:rsidRPr="001801A0">
        <w:rPr>
          <w:rFonts w:ascii="Times New Roman" w:eastAsia="Times New Roman" w:hAnsi="Times New Roman"/>
          <w:b/>
          <w:sz w:val="20"/>
          <w:szCs w:val="20"/>
        </w:rPr>
        <w:t xml:space="preserve"> та </w:t>
      </w:r>
      <w:proofErr w:type="spellStart"/>
      <w:r w:rsidRPr="001801A0">
        <w:rPr>
          <w:rFonts w:ascii="Times New Roman" w:eastAsia="Times New Roman" w:hAnsi="Times New Roman"/>
          <w:b/>
          <w:sz w:val="20"/>
          <w:szCs w:val="20"/>
        </w:rPr>
        <w:t>Сокаль</w:t>
      </w:r>
      <w:proofErr w:type="spellEnd"/>
      <w:r w:rsidRPr="001801A0">
        <w:rPr>
          <w:rFonts w:ascii="Times New Roman" w:eastAsia="Times New Roman" w:hAnsi="Times New Roman"/>
          <w:b/>
          <w:sz w:val="20"/>
          <w:szCs w:val="20"/>
        </w:rPr>
        <w:t xml:space="preserve">» в межах Програми </w:t>
      </w:r>
      <w:proofErr w:type="spellStart"/>
      <w:r w:rsidRPr="001801A0">
        <w:rPr>
          <w:rFonts w:ascii="Times New Roman" w:eastAsia="Times New Roman" w:hAnsi="Times New Roman"/>
          <w:b/>
          <w:sz w:val="20"/>
          <w:szCs w:val="20"/>
        </w:rPr>
        <w:t>Interreg</w:t>
      </w:r>
      <w:proofErr w:type="spellEnd"/>
      <w:r w:rsidRPr="001801A0">
        <w:rPr>
          <w:rFonts w:ascii="Times New Roman" w:eastAsia="Times New Roman" w:hAnsi="Times New Roman"/>
          <w:b/>
          <w:sz w:val="20"/>
          <w:szCs w:val="20"/>
        </w:rPr>
        <w:t xml:space="preserve"> NEXT «Польща – Україна 2021-2027», що </w:t>
      </w:r>
      <w:proofErr w:type="spellStart"/>
      <w:r w:rsidRPr="001801A0">
        <w:rPr>
          <w:rFonts w:ascii="Times New Roman" w:eastAsia="Times New Roman" w:hAnsi="Times New Roman"/>
          <w:b/>
          <w:sz w:val="20"/>
          <w:szCs w:val="20"/>
        </w:rPr>
        <w:t>співфінансується</w:t>
      </w:r>
      <w:proofErr w:type="spellEnd"/>
      <w:r w:rsidRPr="001801A0">
        <w:rPr>
          <w:rFonts w:ascii="Times New Roman" w:eastAsia="Times New Roman" w:hAnsi="Times New Roman"/>
          <w:b/>
          <w:sz w:val="20"/>
          <w:szCs w:val="20"/>
        </w:rPr>
        <w:t xml:space="preserve"> Європейським Союзом через Міністерство фондів розвитку та регіональної політики Республіки Польща </w:t>
      </w:r>
    </w:p>
    <w:p w:rsidR="001801A0" w:rsidRDefault="001801A0" w:rsidP="001801A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801A0">
        <w:rPr>
          <w:rFonts w:ascii="Times New Roman" w:eastAsia="Times New Roman" w:hAnsi="Times New Roman"/>
          <w:b/>
          <w:sz w:val="20"/>
          <w:szCs w:val="20"/>
        </w:rPr>
        <w:t>ДК 021:2015: 79410000-1 Консультаційні послуги з питань підприємницької діяльності та управління</w:t>
      </w:r>
    </w:p>
    <w:p w:rsidR="00D009FE" w:rsidRDefault="00D009FE" w:rsidP="003E5AD6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3E5AD6" w:rsidRPr="003E5AD6" w:rsidRDefault="001801A0" w:rsidP="00D009FE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sz w:val="20"/>
          <w:szCs w:val="20"/>
        </w:rPr>
        <w:t>м.Сокаль</w:t>
      </w:r>
      <w:proofErr w:type="spellEnd"/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>10</w:t>
      </w:r>
      <w:r w:rsidR="003E5AD6" w:rsidRPr="003E5AD6">
        <w:rPr>
          <w:rFonts w:ascii="Times New Roman" w:eastAsia="Times New Roman" w:hAnsi="Times New Roman"/>
          <w:sz w:val="20"/>
          <w:szCs w:val="20"/>
        </w:rPr>
        <w:t>.04.2025 року</w:t>
      </w:r>
    </w:p>
    <w:p w:rsidR="00D009FE" w:rsidRDefault="008B2E34" w:rsidP="00D009FE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1. </w:t>
      </w:r>
      <w:r w:rsidR="00D009FE"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tbl>
      <w:tblPr>
        <w:tblW w:w="99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5"/>
        <w:gridCol w:w="5801"/>
      </w:tblGrid>
      <w:tr w:rsidR="00D009FE" w:rsidTr="00D009FE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Найменування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Сокальська міська рада Львівської області</w:t>
            </w:r>
          </w:p>
        </w:tc>
      </w:tr>
      <w:tr w:rsidR="00D009FE" w:rsidTr="00D009FE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Місцезнаходження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80001, Україна , Львівська обл., місто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Сокаль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, вулиця Шептицького, будинок 44.</w:t>
            </w:r>
          </w:p>
        </w:tc>
      </w:tr>
      <w:tr w:rsidR="00D009FE" w:rsidTr="00D009FE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Код згідно з ЄДРПОУ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26205171</w:t>
            </w:r>
          </w:p>
        </w:tc>
      </w:tr>
      <w:tr w:rsidR="00D009FE" w:rsidTr="00D009FE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Категорія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pStyle w:val="rvps2"/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Органи державної влади та органи місцевого самоврядування, зазначені у пункті 1 частини першої статті 2 Закону України «Про публічні закупівлі»</w:t>
            </w:r>
            <w:r>
              <w:rPr>
                <w:b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</w:tr>
    </w:tbl>
    <w:p w:rsidR="008B2E34" w:rsidRDefault="008B2E34" w:rsidP="00E90EE0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heading=h.gjdgxs"/>
      <w:bookmarkEnd w:id="0"/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2. </w:t>
      </w:r>
      <w:r w:rsidR="00D009FE"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D009FE">
        <w:rPr>
          <w:rFonts w:ascii="Times New Roman" w:eastAsia="Times New Roman" w:hAnsi="Times New Roman"/>
          <w:sz w:val="20"/>
          <w:szCs w:val="20"/>
        </w:rPr>
        <w:t xml:space="preserve"> </w:t>
      </w:r>
      <w:r w:rsidR="00E90EE0" w:rsidRPr="00E90EE0">
        <w:rPr>
          <w:rFonts w:ascii="Times New Roman" w:eastAsia="Times New Roman" w:hAnsi="Times New Roman"/>
          <w:sz w:val="20"/>
          <w:szCs w:val="20"/>
        </w:rPr>
        <w:t xml:space="preserve">Послуги фінансового менеджера </w:t>
      </w:r>
      <w:proofErr w:type="spellStart"/>
      <w:r w:rsidR="00E90EE0" w:rsidRPr="00E90EE0">
        <w:rPr>
          <w:rFonts w:ascii="Times New Roman" w:eastAsia="Times New Roman" w:hAnsi="Times New Roman"/>
          <w:sz w:val="20"/>
          <w:szCs w:val="20"/>
        </w:rPr>
        <w:t>проєкту</w:t>
      </w:r>
      <w:proofErr w:type="spellEnd"/>
      <w:r w:rsidR="00E90EE0" w:rsidRPr="00E90EE0">
        <w:rPr>
          <w:rFonts w:ascii="Times New Roman" w:eastAsia="Times New Roman" w:hAnsi="Times New Roman"/>
          <w:sz w:val="20"/>
          <w:szCs w:val="20"/>
        </w:rPr>
        <w:t xml:space="preserve"> № PLUA.01.02-IP.01-0041/23 «Захист прикордонної річки Буг шляхом розширення санітарної мережі в прикордонних </w:t>
      </w:r>
      <w:proofErr w:type="spellStart"/>
      <w:r w:rsidR="00E90EE0" w:rsidRPr="00E90EE0">
        <w:rPr>
          <w:rFonts w:ascii="Times New Roman" w:eastAsia="Times New Roman" w:hAnsi="Times New Roman"/>
          <w:sz w:val="20"/>
          <w:szCs w:val="20"/>
        </w:rPr>
        <w:t>гмінах</w:t>
      </w:r>
      <w:proofErr w:type="spellEnd"/>
      <w:r w:rsidR="00E90EE0" w:rsidRPr="00E90EE0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E90EE0" w:rsidRPr="00E90EE0">
        <w:rPr>
          <w:rFonts w:ascii="Times New Roman" w:eastAsia="Times New Roman" w:hAnsi="Times New Roman"/>
          <w:sz w:val="20"/>
          <w:szCs w:val="20"/>
        </w:rPr>
        <w:t>Долгобичув</w:t>
      </w:r>
      <w:proofErr w:type="spellEnd"/>
      <w:r w:rsidR="00E90EE0" w:rsidRPr="00E90EE0">
        <w:rPr>
          <w:rFonts w:ascii="Times New Roman" w:eastAsia="Times New Roman" w:hAnsi="Times New Roman"/>
          <w:sz w:val="20"/>
          <w:szCs w:val="20"/>
        </w:rPr>
        <w:t xml:space="preserve"> та </w:t>
      </w:r>
      <w:proofErr w:type="spellStart"/>
      <w:r w:rsidR="00E90EE0" w:rsidRPr="00E90EE0">
        <w:rPr>
          <w:rFonts w:ascii="Times New Roman" w:eastAsia="Times New Roman" w:hAnsi="Times New Roman"/>
          <w:sz w:val="20"/>
          <w:szCs w:val="20"/>
        </w:rPr>
        <w:t>Сокаль</w:t>
      </w:r>
      <w:proofErr w:type="spellEnd"/>
      <w:r w:rsidR="00E90EE0" w:rsidRPr="00E90EE0">
        <w:rPr>
          <w:rFonts w:ascii="Times New Roman" w:eastAsia="Times New Roman" w:hAnsi="Times New Roman"/>
          <w:sz w:val="20"/>
          <w:szCs w:val="20"/>
        </w:rPr>
        <w:t xml:space="preserve">» в межах Програми </w:t>
      </w:r>
      <w:proofErr w:type="spellStart"/>
      <w:r w:rsidR="00E90EE0" w:rsidRPr="00E90EE0">
        <w:rPr>
          <w:rFonts w:ascii="Times New Roman" w:eastAsia="Times New Roman" w:hAnsi="Times New Roman"/>
          <w:sz w:val="20"/>
          <w:szCs w:val="20"/>
        </w:rPr>
        <w:t>Interreg</w:t>
      </w:r>
      <w:proofErr w:type="spellEnd"/>
      <w:r w:rsidR="00E90EE0" w:rsidRPr="00E90EE0">
        <w:rPr>
          <w:rFonts w:ascii="Times New Roman" w:eastAsia="Times New Roman" w:hAnsi="Times New Roman"/>
          <w:sz w:val="20"/>
          <w:szCs w:val="20"/>
        </w:rPr>
        <w:t xml:space="preserve"> NEXT «Польща – Україна 2021-2027», що </w:t>
      </w:r>
      <w:proofErr w:type="spellStart"/>
      <w:r w:rsidR="00E90EE0" w:rsidRPr="00E90EE0">
        <w:rPr>
          <w:rFonts w:ascii="Times New Roman" w:eastAsia="Times New Roman" w:hAnsi="Times New Roman"/>
          <w:sz w:val="20"/>
          <w:szCs w:val="20"/>
        </w:rPr>
        <w:t>співфінансується</w:t>
      </w:r>
      <w:proofErr w:type="spellEnd"/>
      <w:r w:rsidR="00E90EE0" w:rsidRPr="00E90EE0">
        <w:rPr>
          <w:rFonts w:ascii="Times New Roman" w:eastAsia="Times New Roman" w:hAnsi="Times New Roman"/>
          <w:sz w:val="20"/>
          <w:szCs w:val="20"/>
        </w:rPr>
        <w:t xml:space="preserve"> Європейським Союзом через Міністерство фондів розвитку та регіональ</w:t>
      </w:r>
      <w:r w:rsidR="00E90EE0">
        <w:rPr>
          <w:rFonts w:ascii="Times New Roman" w:eastAsia="Times New Roman" w:hAnsi="Times New Roman"/>
          <w:sz w:val="20"/>
          <w:szCs w:val="20"/>
        </w:rPr>
        <w:t xml:space="preserve">ної політики Республіки Польща </w:t>
      </w:r>
      <w:r w:rsidR="00E90EE0" w:rsidRPr="00E90EE0">
        <w:rPr>
          <w:rFonts w:ascii="Times New Roman" w:eastAsia="Times New Roman" w:hAnsi="Times New Roman"/>
          <w:sz w:val="20"/>
          <w:szCs w:val="20"/>
        </w:rPr>
        <w:t>ДК 021:2015: 79410000-1 Консультаційні послуги з питань підприємницької діяльності та управління</w:t>
      </w:r>
    </w:p>
    <w:p w:rsidR="003F6068" w:rsidRDefault="008B2E34" w:rsidP="00D009FE">
      <w:pPr>
        <w:spacing w:before="280" w:after="280" w:line="240" w:lineRule="auto"/>
        <w:jc w:val="both"/>
        <w:rPr>
          <w:rFonts w:ascii="Times New Roman" w:hAnsi="Times New Roman"/>
          <w:b/>
          <w:color w:val="333333"/>
          <w:szCs w:val="20"/>
          <w:shd w:val="clear" w:color="auto" w:fill="FFFFFF"/>
        </w:rPr>
      </w:pPr>
      <w:r>
        <w:rPr>
          <w:rFonts w:ascii="Times New Roman" w:eastAsia="Times New Roman" w:hAnsi="Times New Roman"/>
          <w:sz w:val="20"/>
          <w:szCs w:val="20"/>
        </w:rPr>
        <w:t xml:space="preserve">3. </w:t>
      </w:r>
      <w:r w:rsidR="00D009FE"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 w:rsidR="00D009FE">
        <w:rPr>
          <w:rFonts w:ascii="Times New Roman" w:eastAsia="Times New Roman" w:hAnsi="Times New Roman"/>
          <w:sz w:val="20"/>
          <w:szCs w:val="20"/>
        </w:rPr>
        <w:t xml:space="preserve"> Відкриті торги з особливостями </w:t>
      </w:r>
      <w:r w:rsidR="00E90EE0" w:rsidRPr="00E90EE0">
        <w:rPr>
          <w:rFonts w:ascii="Times New Roman" w:hAnsi="Times New Roman"/>
          <w:b/>
          <w:color w:val="333333"/>
          <w:szCs w:val="20"/>
          <w:shd w:val="clear" w:color="auto" w:fill="FFFFFF"/>
        </w:rPr>
        <w:t>UA-2025-04-10-013884-a</w:t>
      </w:r>
    </w:p>
    <w:p w:rsidR="00D009FE" w:rsidRDefault="003F6068" w:rsidP="00D009FE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333333"/>
          <w:szCs w:val="20"/>
          <w:shd w:val="clear" w:color="auto" w:fill="FFFFFF"/>
        </w:rPr>
        <w:t xml:space="preserve">4. </w:t>
      </w:r>
      <w:r w:rsidR="00D009FE"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</w:t>
      </w:r>
      <w:r w:rsidR="00D009FE" w:rsidRPr="00F07A63">
        <w:rPr>
          <w:rFonts w:ascii="Times New Roman" w:eastAsia="Times New Roman" w:hAnsi="Times New Roman"/>
          <w:b/>
          <w:sz w:val="20"/>
          <w:szCs w:val="20"/>
        </w:rPr>
        <w:t>:</w:t>
      </w:r>
      <w:r w:rsidR="00D009FE" w:rsidRPr="00F07A63">
        <w:rPr>
          <w:rFonts w:ascii="Times New Roman" w:eastAsia="Times New Roman" w:hAnsi="Times New Roman"/>
          <w:sz w:val="20"/>
          <w:szCs w:val="20"/>
        </w:rPr>
        <w:t xml:space="preserve"> </w:t>
      </w:r>
      <w:r w:rsidR="007D0485" w:rsidRPr="007D0485">
        <w:rPr>
          <w:rFonts w:ascii="Times New Roman" w:eastAsia="Times New Roman" w:hAnsi="Times New Roman"/>
          <w:b/>
          <w:sz w:val="20"/>
          <w:szCs w:val="20"/>
        </w:rPr>
        <w:t xml:space="preserve">945 000 </w:t>
      </w:r>
      <w:proofErr w:type="spellStart"/>
      <w:r w:rsidR="007D0485" w:rsidRPr="007D0485">
        <w:rPr>
          <w:rFonts w:ascii="Times New Roman" w:eastAsia="Times New Roman" w:hAnsi="Times New Roman"/>
          <w:b/>
          <w:sz w:val="20"/>
          <w:szCs w:val="20"/>
        </w:rPr>
        <w:t>грн</w:t>
      </w:r>
      <w:proofErr w:type="spellEnd"/>
      <w:r w:rsidR="007D0485" w:rsidRPr="007D0485">
        <w:rPr>
          <w:rFonts w:ascii="Times New Roman" w:eastAsia="Times New Roman" w:hAnsi="Times New Roman"/>
          <w:b/>
          <w:sz w:val="20"/>
          <w:szCs w:val="20"/>
        </w:rPr>
        <w:t xml:space="preserve"> без ПДВ</w:t>
      </w:r>
      <w:r w:rsidR="007D048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F6068">
        <w:rPr>
          <w:rFonts w:ascii="Times New Roman" w:eastAsia="Times New Roman" w:hAnsi="Times New Roman"/>
          <w:sz w:val="20"/>
          <w:szCs w:val="20"/>
        </w:rPr>
        <w:t xml:space="preserve">за кошти Європейського Союзу для України та </w:t>
      </w:r>
      <w:proofErr w:type="spellStart"/>
      <w:r w:rsidRPr="003F6068">
        <w:rPr>
          <w:rFonts w:ascii="Times New Roman" w:eastAsia="Times New Roman" w:hAnsi="Times New Roman"/>
          <w:sz w:val="20"/>
          <w:szCs w:val="20"/>
        </w:rPr>
        <w:t>співфінансування</w:t>
      </w:r>
      <w:proofErr w:type="spellEnd"/>
      <w:r w:rsidRPr="003F6068">
        <w:rPr>
          <w:rFonts w:ascii="Times New Roman" w:eastAsia="Times New Roman" w:hAnsi="Times New Roman"/>
          <w:sz w:val="20"/>
          <w:szCs w:val="20"/>
        </w:rPr>
        <w:t xml:space="preserve"> Сокальської  міської ради Львівської області згідно  </w:t>
      </w:r>
      <w:proofErr w:type="spellStart"/>
      <w:r w:rsidRPr="003F6068">
        <w:rPr>
          <w:rFonts w:ascii="Times New Roman" w:eastAsia="Times New Roman" w:hAnsi="Times New Roman"/>
          <w:sz w:val="20"/>
          <w:szCs w:val="20"/>
        </w:rPr>
        <w:t>Проєкту</w:t>
      </w:r>
      <w:proofErr w:type="spellEnd"/>
      <w:r w:rsidRPr="003F6068">
        <w:rPr>
          <w:rFonts w:ascii="Times New Roman" w:eastAsia="Times New Roman" w:hAnsi="Times New Roman"/>
          <w:sz w:val="20"/>
          <w:szCs w:val="20"/>
        </w:rPr>
        <w:t xml:space="preserve"> №  PLUА.01.02-IP.01-0041/23 «Захист прикордонної річки Буг шляхом розширення санітарної мережі в прикордонних </w:t>
      </w:r>
      <w:proofErr w:type="spellStart"/>
      <w:r w:rsidRPr="003F6068">
        <w:rPr>
          <w:rFonts w:ascii="Times New Roman" w:eastAsia="Times New Roman" w:hAnsi="Times New Roman"/>
          <w:sz w:val="20"/>
          <w:szCs w:val="20"/>
        </w:rPr>
        <w:t>гмінах</w:t>
      </w:r>
      <w:proofErr w:type="spellEnd"/>
      <w:r w:rsidRPr="003F6068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F6068">
        <w:rPr>
          <w:rFonts w:ascii="Times New Roman" w:eastAsia="Times New Roman" w:hAnsi="Times New Roman"/>
          <w:sz w:val="20"/>
          <w:szCs w:val="20"/>
        </w:rPr>
        <w:t>Долгобичув</w:t>
      </w:r>
      <w:proofErr w:type="spellEnd"/>
      <w:r w:rsidRPr="003F6068">
        <w:rPr>
          <w:rFonts w:ascii="Times New Roman" w:eastAsia="Times New Roman" w:hAnsi="Times New Roman"/>
          <w:sz w:val="20"/>
          <w:szCs w:val="20"/>
        </w:rPr>
        <w:t xml:space="preserve"> та </w:t>
      </w:r>
      <w:proofErr w:type="spellStart"/>
      <w:r w:rsidRPr="003F6068">
        <w:rPr>
          <w:rFonts w:ascii="Times New Roman" w:eastAsia="Times New Roman" w:hAnsi="Times New Roman"/>
          <w:sz w:val="20"/>
          <w:szCs w:val="20"/>
        </w:rPr>
        <w:t>Сокаль</w:t>
      </w:r>
      <w:proofErr w:type="spellEnd"/>
      <w:r w:rsidRPr="003F6068">
        <w:rPr>
          <w:rFonts w:ascii="Times New Roman" w:eastAsia="Times New Roman" w:hAnsi="Times New Roman"/>
          <w:sz w:val="20"/>
          <w:szCs w:val="20"/>
        </w:rPr>
        <w:t xml:space="preserve">» в межах Програми </w:t>
      </w:r>
      <w:proofErr w:type="spellStart"/>
      <w:r w:rsidRPr="003F6068">
        <w:rPr>
          <w:rFonts w:ascii="Times New Roman" w:eastAsia="Times New Roman" w:hAnsi="Times New Roman"/>
          <w:sz w:val="20"/>
          <w:szCs w:val="20"/>
        </w:rPr>
        <w:t>Interreg</w:t>
      </w:r>
      <w:proofErr w:type="spellEnd"/>
      <w:r w:rsidRPr="003F6068">
        <w:rPr>
          <w:rFonts w:ascii="Times New Roman" w:eastAsia="Times New Roman" w:hAnsi="Times New Roman"/>
          <w:sz w:val="20"/>
          <w:szCs w:val="20"/>
        </w:rPr>
        <w:t xml:space="preserve"> NEXT Польща – Україна 2021-2027», який діє в Україні на підставі міжнародного договору -  Рамкової угоди між Урядом України та Комісією Європейських Співтовариств  від 12.12.2006, ратифікована із заявою Законом України від 03.09.2008 № 360-VI; Угоди про фінансування програми </w:t>
      </w:r>
      <w:proofErr w:type="spellStart"/>
      <w:r w:rsidRPr="003F6068">
        <w:rPr>
          <w:rFonts w:ascii="Times New Roman" w:eastAsia="Times New Roman" w:hAnsi="Times New Roman"/>
          <w:sz w:val="20"/>
          <w:szCs w:val="20"/>
        </w:rPr>
        <w:t>Interreg</w:t>
      </w:r>
      <w:proofErr w:type="spellEnd"/>
      <w:r w:rsidRPr="003F6068">
        <w:rPr>
          <w:rFonts w:ascii="Times New Roman" w:eastAsia="Times New Roman" w:hAnsi="Times New Roman"/>
          <w:sz w:val="20"/>
          <w:szCs w:val="20"/>
        </w:rPr>
        <w:t xml:space="preserve"> (</w:t>
      </w:r>
      <w:proofErr w:type="spellStart"/>
      <w:r w:rsidRPr="003F6068">
        <w:rPr>
          <w:rFonts w:ascii="Times New Roman" w:eastAsia="Times New Roman" w:hAnsi="Times New Roman"/>
          <w:sz w:val="20"/>
          <w:szCs w:val="20"/>
        </w:rPr>
        <w:t>Interreg</w:t>
      </w:r>
      <w:proofErr w:type="spellEnd"/>
      <w:r w:rsidRPr="003F6068">
        <w:rPr>
          <w:rFonts w:ascii="Times New Roman" w:eastAsia="Times New Roman" w:hAnsi="Times New Roman"/>
          <w:sz w:val="20"/>
          <w:szCs w:val="20"/>
        </w:rPr>
        <w:t xml:space="preserve"> VI-A) NEXT Польща-Україна, ратифікованою Законом України № 3719- IХ від  09.05.2024р.</w:t>
      </w:r>
      <w:r w:rsidR="00820D52">
        <w:rPr>
          <w:rFonts w:ascii="Times New Roman" w:eastAsia="Times New Roman" w:hAnsi="Times New Roman"/>
          <w:sz w:val="20"/>
          <w:szCs w:val="20"/>
        </w:rPr>
        <w:t xml:space="preserve"> </w:t>
      </w:r>
      <w:r w:rsidR="00820D52">
        <w:rPr>
          <w:rFonts w:ascii="Times New Roman" w:eastAsia="Times New Roman" w:hAnsi="Times New Roman"/>
          <w:sz w:val="20"/>
          <w:szCs w:val="20"/>
        </w:rPr>
        <w:t>КЕКВ 2240, КПКВ 0117700.</w:t>
      </w:r>
      <w:bookmarkStart w:id="1" w:name="_GoBack"/>
      <w:bookmarkEnd w:id="1"/>
    </w:p>
    <w:p w:rsidR="007D0485" w:rsidRDefault="00CE6F96" w:rsidP="007D048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5. </w:t>
      </w:r>
      <w:r w:rsidR="00D009FE"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 w:rsidR="00D009FE">
        <w:rPr>
          <w:rFonts w:ascii="Times New Roman" w:eastAsia="Times New Roman" w:hAnsi="Times New Roman"/>
          <w:sz w:val="20"/>
          <w:szCs w:val="20"/>
        </w:rPr>
        <w:t xml:space="preserve"> : </w:t>
      </w:r>
      <w:r w:rsidR="007D0485" w:rsidRPr="007D0485">
        <w:rPr>
          <w:rFonts w:ascii="Times New Roman" w:eastAsia="Times New Roman" w:hAnsi="Times New Roman"/>
          <w:b/>
          <w:sz w:val="20"/>
          <w:szCs w:val="20"/>
        </w:rPr>
        <w:t xml:space="preserve">945 000 </w:t>
      </w:r>
      <w:proofErr w:type="spellStart"/>
      <w:r w:rsidR="007D0485" w:rsidRPr="007D0485">
        <w:rPr>
          <w:rFonts w:ascii="Times New Roman" w:eastAsia="Times New Roman" w:hAnsi="Times New Roman"/>
          <w:b/>
          <w:sz w:val="20"/>
          <w:szCs w:val="20"/>
        </w:rPr>
        <w:t>грн</w:t>
      </w:r>
      <w:proofErr w:type="spellEnd"/>
      <w:r w:rsidR="007D0485" w:rsidRPr="007D0485">
        <w:rPr>
          <w:rFonts w:ascii="Times New Roman" w:eastAsia="Times New Roman" w:hAnsi="Times New Roman"/>
          <w:b/>
          <w:sz w:val="20"/>
          <w:szCs w:val="20"/>
        </w:rPr>
        <w:t xml:space="preserve"> без ПДВ</w:t>
      </w:r>
    </w:p>
    <w:p w:rsidR="00D009FE" w:rsidRDefault="00D009FE" w:rsidP="007D048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Розрахунок очікуваної вартості  закупівлі  здійснювався з урахуванням 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 Замовник використовував, як загальнодоступну </w:t>
      </w: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інформацію щодо ціни послуг,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прайс-листах</w:t>
      </w:r>
      <w:proofErr w:type="spellEnd"/>
      <w:r>
        <w:rPr>
          <w:rFonts w:ascii="Times New Roman" w:eastAsia="Times New Roman" w:hAnsi="Times New Roman"/>
          <w:sz w:val="20"/>
          <w:szCs w:val="20"/>
        </w:rPr>
        <w:t>, в електронній системі закупівель "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Prozorro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" та на аналогічних торгівельних електронних майданчиках, дані спеціалізованих інформаційно-аналітичних видань, офіційних статистичних видань, в тому числі іноземних, тощо), так і інформацію, отриману шляхом проведення ринкових консультацій. </w:t>
      </w:r>
      <w:r w:rsidR="00CE6F96" w:rsidRPr="00CE6F96">
        <w:rPr>
          <w:rFonts w:ascii="Times New Roman" w:eastAsia="Times New Roman" w:hAnsi="Times New Roman"/>
          <w:color w:val="000000" w:themeColor="text1"/>
          <w:sz w:val="20"/>
          <w:szCs w:val="20"/>
        </w:rPr>
        <w:t>Враховуючи, що раніше міською радою не здійснювалися закупівлі відповідних послуг та відсутнє регулювання державою цін на дані послуги, найприйнятнішим варіантом формування очікуваної вартості є відповідно до п.1 Розділу 3 Методики</w:t>
      </w:r>
      <w:r w:rsidR="00CE6F96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-</w:t>
      </w:r>
      <w:r w:rsidR="00CE6F96" w:rsidRPr="00CE6F96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аналіз ринку та порівняння ринкових цін.</w:t>
      </w:r>
      <w:r w:rsidR="00CE6F96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Замовником </w:t>
      </w:r>
      <w:r w:rsidR="00CE6F96" w:rsidRPr="00CE6F96">
        <w:rPr>
          <w:rFonts w:ascii="Times New Roman" w:eastAsia="Times New Roman" w:hAnsi="Times New Roman"/>
          <w:color w:val="000000" w:themeColor="text1"/>
          <w:sz w:val="20"/>
          <w:szCs w:val="20"/>
        </w:rPr>
        <w:t>було надіслано листи потенційним надавачам послуг із єдиними технічними вимогами, приведені до єдиних умов задля отримання комерційних пропозицій</w:t>
      </w:r>
      <w:r w:rsidR="00CE6F96">
        <w:rPr>
          <w:rFonts w:ascii="Times New Roman" w:eastAsia="Times New Roman" w:hAnsi="Times New Roman"/>
          <w:color w:val="000000" w:themeColor="text1"/>
          <w:sz w:val="20"/>
          <w:szCs w:val="20"/>
        </w:rPr>
        <w:t>, на підставі отриманої інформації було сформовано очікувану вартість закупівлі.</w:t>
      </w:r>
    </w:p>
    <w:p w:rsidR="00CE6F96" w:rsidRPr="00CE6F96" w:rsidRDefault="00CE6F96" w:rsidP="00CE6F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D009FE" w:rsidRDefault="00CE6F96" w:rsidP="00D009FE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6. </w:t>
      </w:r>
      <w:r w:rsidR="00D009FE">
        <w:rPr>
          <w:rFonts w:ascii="Times New Roman" w:eastAsia="Times New Roman" w:hAnsi="Times New Roman"/>
          <w:b/>
          <w:sz w:val="20"/>
          <w:szCs w:val="20"/>
          <w:u w:val="single"/>
        </w:rPr>
        <w:t>Обґрунтування технічних, якісних характеристик</w:t>
      </w:r>
      <w:bookmarkStart w:id="2" w:name="_heading=h.1fob9te"/>
      <w:bookmarkEnd w:id="2"/>
    </w:p>
    <w:tbl>
      <w:tblPr>
        <w:tblpPr w:leftFromText="180" w:rightFromText="180" w:vertAnchor="text" w:tblpXSpec="right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2632"/>
        <w:gridCol w:w="7433"/>
      </w:tblGrid>
      <w:tr w:rsidR="00EA15A4" w:rsidRPr="00292866" w:rsidTr="008008E6">
        <w:trPr>
          <w:trHeight w:val="264"/>
        </w:trPr>
        <w:tc>
          <w:tcPr>
            <w:tcW w:w="10065" w:type="dxa"/>
            <w:gridSpan w:val="2"/>
            <w:shd w:val="clear" w:color="auto" w:fill="FFFFFF"/>
            <w:vAlign w:val="center"/>
          </w:tcPr>
          <w:p w:rsidR="00EA15A4" w:rsidRPr="00292866" w:rsidRDefault="00EA15A4" w:rsidP="008008E6">
            <w:pPr>
              <w:keepLines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Загальна характеристика предмета закупівлі</w:t>
            </w:r>
          </w:p>
        </w:tc>
      </w:tr>
      <w:tr w:rsidR="00EA15A4" w:rsidRPr="00292866" w:rsidTr="008008E6">
        <w:tc>
          <w:tcPr>
            <w:tcW w:w="2632" w:type="dxa"/>
          </w:tcPr>
          <w:p w:rsidR="00EA15A4" w:rsidRPr="00292866" w:rsidRDefault="00EA15A4" w:rsidP="008008E6">
            <w:pPr>
              <w:keepLines/>
              <w:numPr>
                <w:ilvl w:val="1"/>
                <w:numId w:val="2"/>
              </w:numPr>
              <w:spacing w:after="0" w:line="240" w:lineRule="auto"/>
              <w:ind w:left="597" w:hanging="597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Тип / категорія</w:t>
            </w:r>
          </w:p>
        </w:tc>
        <w:tc>
          <w:tcPr>
            <w:tcW w:w="7433" w:type="dxa"/>
          </w:tcPr>
          <w:p w:rsidR="00EA15A4" w:rsidRPr="00292866" w:rsidRDefault="00EA15A4" w:rsidP="008008E6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Послуги (1 послуга)</w:t>
            </w:r>
          </w:p>
        </w:tc>
      </w:tr>
      <w:tr w:rsidR="00EA15A4" w:rsidRPr="00292866" w:rsidTr="008008E6">
        <w:tc>
          <w:tcPr>
            <w:tcW w:w="2632" w:type="dxa"/>
          </w:tcPr>
          <w:p w:rsidR="00EA15A4" w:rsidRPr="00292866" w:rsidRDefault="00EA15A4" w:rsidP="008008E6">
            <w:pPr>
              <w:keepLines/>
              <w:numPr>
                <w:ilvl w:val="1"/>
                <w:numId w:val="2"/>
              </w:numPr>
              <w:spacing w:after="0" w:line="240" w:lineRule="auto"/>
              <w:ind w:left="30" w:hanging="30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Найменування предмета закупівлі</w:t>
            </w:r>
          </w:p>
        </w:tc>
        <w:tc>
          <w:tcPr>
            <w:tcW w:w="7433" w:type="dxa"/>
          </w:tcPr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bookmarkStart w:id="3" w:name="_Hlk194307650"/>
            <w:r w:rsidRPr="002928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Послуги фінансового менеджера </w:t>
            </w:r>
            <w:proofErr w:type="spellStart"/>
            <w:r w:rsidRPr="002928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№ PLUA.01.02-IP.01-0041/23 «Захист прикордонної річки Буг шляхом розширення санітарної мережі в прикордонних </w:t>
            </w:r>
            <w:proofErr w:type="spellStart"/>
            <w:r w:rsidRPr="002928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гмінах</w:t>
            </w:r>
            <w:proofErr w:type="spellEnd"/>
            <w:r w:rsidRPr="002928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928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Долгобичув</w:t>
            </w:r>
            <w:proofErr w:type="spellEnd"/>
            <w:r w:rsidRPr="002928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2928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Сокаль</w:t>
            </w:r>
            <w:proofErr w:type="spellEnd"/>
            <w:r w:rsidRPr="002928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» в межах Програми </w:t>
            </w:r>
            <w:proofErr w:type="spellStart"/>
            <w:r w:rsidRPr="002928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Interreg</w:t>
            </w:r>
            <w:proofErr w:type="spellEnd"/>
            <w:r w:rsidRPr="002928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NEXT «Польща – Україна 2021-2027», що </w:t>
            </w:r>
            <w:proofErr w:type="spellStart"/>
            <w:r w:rsidRPr="002928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співфінансується</w:t>
            </w:r>
            <w:proofErr w:type="spellEnd"/>
            <w:r w:rsidRPr="002928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Європейським Союзом через Міністерство фондів розвитку та регіональної політики Республіки Польща; ДК 021:2015: 79410000-1: Консультаційні послуги з питань підприємницької діяльності та управління</w:t>
            </w:r>
            <w:bookmarkEnd w:id="3"/>
          </w:p>
        </w:tc>
      </w:tr>
      <w:tr w:rsidR="00EA15A4" w:rsidRPr="00292866" w:rsidTr="008008E6">
        <w:tc>
          <w:tcPr>
            <w:tcW w:w="2632" w:type="dxa"/>
          </w:tcPr>
          <w:p w:rsidR="00EA15A4" w:rsidRPr="00292866" w:rsidRDefault="00EA15A4" w:rsidP="008008E6">
            <w:pPr>
              <w:keepLines/>
              <w:numPr>
                <w:ilvl w:val="1"/>
                <w:numId w:val="2"/>
              </w:numPr>
              <w:spacing w:after="0" w:line="240" w:lineRule="auto"/>
              <w:ind w:left="597" w:hanging="597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Строк надання послуг </w:t>
            </w:r>
          </w:p>
        </w:tc>
        <w:tc>
          <w:tcPr>
            <w:tcW w:w="7433" w:type="dxa"/>
          </w:tcPr>
          <w:p w:rsidR="00EA15A4" w:rsidRPr="00292866" w:rsidRDefault="00EA15A4" w:rsidP="008008E6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з моменту підписання договору до 30.09.2026 року включно</w:t>
            </w:r>
          </w:p>
        </w:tc>
      </w:tr>
      <w:tr w:rsidR="00EA15A4" w:rsidRPr="00292866" w:rsidTr="008008E6">
        <w:trPr>
          <w:trHeight w:val="44"/>
        </w:trPr>
        <w:tc>
          <w:tcPr>
            <w:tcW w:w="10065" w:type="dxa"/>
            <w:gridSpan w:val="2"/>
            <w:shd w:val="clear" w:color="auto" w:fill="FFFFFF"/>
            <w:vAlign w:val="center"/>
          </w:tcPr>
          <w:p w:rsidR="00EA15A4" w:rsidRPr="00292866" w:rsidRDefault="00EA15A4" w:rsidP="008008E6">
            <w:pPr>
              <w:keepNext/>
              <w:keepLines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Технічна специфікація предмета закупівлі</w:t>
            </w:r>
          </w:p>
        </w:tc>
      </w:tr>
      <w:tr w:rsidR="00EA15A4" w:rsidRPr="00292866" w:rsidTr="008008E6">
        <w:trPr>
          <w:trHeight w:val="414"/>
        </w:trPr>
        <w:tc>
          <w:tcPr>
            <w:tcW w:w="2632" w:type="dxa"/>
          </w:tcPr>
          <w:p w:rsidR="00EA15A4" w:rsidRPr="00292866" w:rsidRDefault="00EA15A4" w:rsidP="008008E6">
            <w:pPr>
              <w:numPr>
                <w:ilvl w:val="1"/>
                <w:numId w:val="2"/>
              </w:numPr>
              <w:spacing w:after="0" w:line="240" w:lineRule="auto"/>
              <w:ind w:left="30" w:hanging="30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Найменування, технічні та  кількісні характеристики послуг (основні завдання) </w:t>
            </w:r>
          </w:p>
        </w:tc>
        <w:tc>
          <w:tcPr>
            <w:tcW w:w="7433" w:type="dxa"/>
          </w:tcPr>
          <w:p w:rsidR="00EA15A4" w:rsidRPr="00292866" w:rsidRDefault="00EA15A4" w:rsidP="008008E6">
            <w:pPr>
              <w:spacing w:after="0" w:line="240" w:lineRule="auto"/>
              <w:ind w:left="3" w:right="115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bookmarkStart w:id="4" w:name="_Hlk124770593"/>
            <w:r w:rsidRPr="002928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Послуги фінансового менеджера </w:t>
            </w:r>
            <w:proofErr w:type="spellStart"/>
            <w:r w:rsidRPr="002928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№ PLUA.01.02-IP.01-0041/23 «Захист прикордонної річки Буг шляхом розширення санітарної мережі в прикордонних </w:t>
            </w:r>
            <w:proofErr w:type="spellStart"/>
            <w:r w:rsidRPr="002928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гмінах</w:t>
            </w:r>
            <w:proofErr w:type="spellEnd"/>
            <w:r w:rsidRPr="002928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928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Долгобичув</w:t>
            </w:r>
            <w:proofErr w:type="spellEnd"/>
            <w:r w:rsidRPr="002928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2928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Сокаль</w:t>
            </w:r>
            <w:proofErr w:type="spellEnd"/>
            <w:r w:rsidRPr="002928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» в межах Програми </w:t>
            </w:r>
            <w:proofErr w:type="spellStart"/>
            <w:r w:rsidRPr="002928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Interreg</w:t>
            </w:r>
            <w:proofErr w:type="spellEnd"/>
            <w:r w:rsidRPr="002928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NEXT «Польща – Україна 2021-2027», що </w:t>
            </w:r>
            <w:proofErr w:type="spellStart"/>
            <w:r w:rsidRPr="002928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співфінансується</w:t>
            </w:r>
            <w:proofErr w:type="spellEnd"/>
            <w:r w:rsidRPr="002928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Європейським Союзом через Міністерство фондів розвитку та регіональної політики Республіки Польща; ДК 021:2015: 79410000-1: Консультаційні послуги з питань підприємницької діяльності та управління</w:t>
            </w:r>
          </w:p>
          <w:p w:rsidR="00EA15A4" w:rsidRPr="00292866" w:rsidRDefault="00EA15A4" w:rsidP="008008E6">
            <w:pPr>
              <w:spacing w:after="0" w:line="240" w:lineRule="auto"/>
              <w:ind w:left="3"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Заходи в </w:t>
            </w:r>
            <w:proofErr w:type="spellStart"/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проєкті</w:t>
            </w:r>
            <w:proofErr w:type="spellEnd"/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/робочі пакети: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  <w:r w:rsidRPr="00292866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 xml:space="preserve">РОБОЧИЙ ПАКЕТ 1 - Будівництво санітарної каналізаційної мережі у </w:t>
            </w:r>
            <w:proofErr w:type="spellStart"/>
            <w:r w:rsidRPr="00292866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гміна</w:t>
            </w:r>
            <w:proofErr w:type="spellEnd"/>
            <w:r w:rsidRPr="00292866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92866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Долгобичув</w:t>
            </w:r>
            <w:proofErr w:type="spellEnd"/>
            <w:r w:rsidRPr="00292866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 xml:space="preserve"> (Республіка Польща) по вулицях: </w:t>
            </w:r>
            <w:proofErr w:type="spellStart"/>
            <w:r w:rsidRPr="00292866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Słoneczna</w:t>
            </w:r>
            <w:proofErr w:type="spellEnd"/>
            <w:r w:rsidRPr="00292866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292866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Błotna</w:t>
            </w:r>
            <w:proofErr w:type="spellEnd"/>
            <w:r w:rsidRPr="00292866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292866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Dolna</w:t>
            </w:r>
            <w:proofErr w:type="spellEnd"/>
            <w:r w:rsidRPr="00292866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292866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Górna</w:t>
            </w:r>
            <w:proofErr w:type="spellEnd"/>
            <w:r w:rsidRPr="00292866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292866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Polna</w:t>
            </w:r>
            <w:proofErr w:type="spellEnd"/>
            <w:r w:rsidRPr="00292866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292866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Hallera</w:t>
            </w:r>
            <w:proofErr w:type="spellEnd"/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 xml:space="preserve">Завдання 1 буде реалізоване польським партнером </w:t>
            </w:r>
            <w:proofErr w:type="spellStart"/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 xml:space="preserve"> і спрямоване на усунення або зменшення таких ключових обмежень, ідентифікованих у процесі аналізу місцевої адміністративної одиниці (перелічено лише найважливіші):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 xml:space="preserve">Нерівномірне та неповне охоплення санітарною інфраструктурою на території </w:t>
            </w:r>
            <w:proofErr w:type="spellStart"/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гміни</w:t>
            </w:r>
            <w:proofErr w:type="spellEnd"/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Долгобичув</w:t>
            </w:r>
            <w:proofErr w:type="spellEnd"/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 xml:space="preserve"> (обмежений доступ жителів до системи санітарної каналізації).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 xml:space="preserve">Низька якість комунальних послуг у </w:t>
            </w:r>
            <w:proofErr w:type="spellStart"/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Долгобичув</w:t>
            </w:r>
            <w:proofErr w:type="spellEnd"/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, що ґрунтується на традиційних методах вивезення стічних вод із використанням асенізаційних машин для транспортування рідких відходів на очисні споруди.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Низький рівень охорони навколишнього середовища в цьому регіоні.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 xml:space="preserve">Таким чином, метою даного завдання є збільшення доступу мешканців </w:t>
            </w:r>
            <w:proofErr w:type="spellStart"/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гміни</w:t>
            </w:r>
            <w:proofErr w:type="spellEnd"/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Долгобичув</w:t>
            </w:r>
            <w:proofErr w:type="spellEnd"/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 xml:space="preserve"> до централізованої системи відведення стічних вод, що сприятиме зменшенню рівня забруднення ґрунту, підземних і поверхневих вод у цьому регіоні.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Очікувані результати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 xml:space="preserve">Унаслідок реалізації інвестиційних заходів буде впорядковано систему управління стічними водами в межах </w:t>
            </w:r>
            <w:proofErr w:type="spellStart"/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проєктної</w:t>
            </w:r>
            <w:proofErr w:type="spellEnd"/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 xml:space="preserve"> території. Це відбудеться завдяки: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Ліквідації застарілих, технічно несправних і схильних до протікань вигрібних ям.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Підключенню раніше не охоплених централізованою каналізацією об'єктів до новозбудованої санітарної каналізаційної мережі.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Це дозволить зменшити неконтрольовані скиди рідких відходів та запобігти їхньому проникненню у ґрунт, підземні води та глибші шари ґрунту.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Цілі будуть досягнуті через реалізацію інфраструктурного завдання, що включає будівництво каналізаційної мережі та підключення до неї мешканців </w:t>
            </w:r>
            <w:proofErr w:type="spellStart"/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гміни</w:t>
            </w:r>
            <w:proofErr w:type="spellEnd"/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Долгобичув</w:t>
            </w:r>
            <w:proofErr w:type="spellEnd"/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Основні технічні параметри </w:t>
            </w:r>
            <w:proofErr w:type="spellStart"/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проєкту</w:t>
            </w:r>
            <w:proofErr w:type="spellEnd"/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Загальна довжина запланованої інфраструктури складе 4 970 метрів, з яких: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3 002 метри – самопливна каналізаційна мережа.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1 953 метри – 59 підключень до будинків.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Детальний обсяг робіт у межах Завдання 1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Розробка технічної документації, яка включає: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Підготовку концепції будівництва санітарної каналізаційної мережі.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 xml:space="preserve">Розробку будівельного </w:t>
            </w:r>
            <w:proofErr w:type="spellStart"/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 xml:space="preserve"> з усіма необхідними погодженнями.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 xml:space="preserve">Отримання картографічних матеріалів для </w:t>
            </w:r>
            <w:proofErr w:type="spellStart"/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проєктних</w:t>
            </w:r>
            <w:proofErr w:type="spellEnd"/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 xml:space="preserve"> потреб.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Отримання дозволів, узгоджень та дозволу на будівництво.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Підготовку детальних креслень.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Геодезичний супровід.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Будівництво санітарної каналізаційної мережі, включаючи: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Прокладання трубопроводів.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Виконання спрямованого буріння.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Встановлення насосної станції та підключення її до електромережі.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Інвесторський</w:t>
            </w:r>
            <w:proofErr w:type="spellEnd"/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 xml:space="preserve"> нагляд і прийняття інвестиційних робіт (поетапне та фінальне приймання).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Методи будівництва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Система каналізації буде збудована із використанням як траншейних, так і безтраншейних технологій, з урахуванням економічних, екологічних і соціальних аспектів, а також вимог власників земельних ділянок.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 xml:space="preserve">Очікувані результати та вплив </w:t>
            </w:r>
            <w:proofErr w:type="spellStart"/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проєкту</w:t>
            </w:r>
            <w:proofErr w:type="spellEnd"/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 xml:space="preserve">Реалізація завдання матиме значний вплив на досягнення загальних цілей </w:t>
            </w:r>
            <w:proofErr w:type="spellStart"/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, зокрема: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Будівництво нової гравітаційної санітарної каналізаційної мережі загальною довжиною 4 970 метрів, включаючи підключення до житлових будинків довжиною 1 953 метри.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Збільшення кількості підключеного населення до централізованої системи очищення стічних вод (принаймні вторинної очистки) – 244 особи.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Збільшення довжини нових або модернізованих каналізаційних труб для громадської мережі збору стічних вод – 4,970 км.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sz w:val="20"/>
                <w:szCs w:val="20"/>
              </w:rPr>
              <w:t>Ця інвестиція сприятиме підвищенню якості життя мешканців, покращенню екологічної ситуації та зміцненню сталого розвитку регіону.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РОБОЧИЙ ПАКЕТ 2 - Реконструкція напірного трубопроводу від КНС-2 до очисних споруд у місті </w:t>
            </w:r>
            <w:proofErr w:type="spellStart"/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Сокаль</w:t>
            </w:r>
            <w:proofErr w:type="spellEnd"/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(Сокальська міська рада, Україна)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Дане завдання має інфраструктурний характер. За своїм матеріальним обсягом воно стосується інвестиційних заходів, спрямованих на реконструкцію колективної системи водовідведення (аналогічно до каналізаційної інфраструктури на польській стороні). Однак у цьому випадку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проєктні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заходи реалізовуватимуться на території України.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Безпосередня територія втручання, з адміністративної точки зору, розташована у північній частині міста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Будівельний майданчик розміщений приблизно за 1 км на північ від міста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у Львівській області. 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Завданням є усунення або зменшення наступних основних проблем, ідентифікованих місцевими органами самоврядування: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Зношена каналізаційна мережа, схильна до аварій, що супроводжується високими витратами на обслуговування та значною кількістю пошкоджених і негерметичних труб, що спричиняють витікання стічних вод у ґрунт (м.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Низький рівень екологічного захисту в цих районах.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Ціль аналізованого завдання – забезпечити доступ жителів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Сокаля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до централізованої системи водовідведення (безпосередня територія втручання на українській стороні) та, як наслідок, зменшити рівень забруднення ґрунтів, підземних і поверхневих вод у цих районах.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Ці пріоритети будуть досягнуті шляхом реалізації інфраструктурного завдання з </w:t>
            </w: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реконструкції напірного трубопроводу від КНС-2 до очисних споруд.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Детальний обсяг заходів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2.1 Реконструкція напірного трубопроводу від КНС-2 до очисних споруд у місті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 рамках завдання передбачено заміну існуючого напірного трубопроводу (одинарна нитка) вздовж існуючого маршруту та будівництво перемикальних камер №1 і №2.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Загальна довжина: 3,384 км.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Передбачені технічні рішення: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Напірна каналізаційна мережа буде збудована з використанням поліетиленових напірних труб PE 100 SDR-17, Ø400x23,6 мм.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 мережі передбачені вхідні сифони у підвищених профільних точках, а також гравітаційні колодязі у нижніх зонах.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Додаткові заходи, що включені до завдання: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підготовка будівельного майданчика,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благоустрій та озеленення території,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виконання будівельних робіт у зимовий період,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засоби для забезпечення обслуговування замовника,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кошти на технічний нагляд,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кошти на створення фонду страхування документації,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витрати на експертизу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проєктної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документації,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кошти на покриття адміністративних витрат будівельних компаній (АВ),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кошти на покриття ризиків усіх учасників будівництва.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Очікувані результати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Реконструйована каналізаційна мережа у місті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загальною довжиною 3,384 км.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Значний вплив реалізації цього завдання на загальні цілі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визначається тим, що воно безпосередньо сприятиме досягненню основних індикаторів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у наступних напрямках: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Довжина нових або модернізованих трубопроводів у системі централізованого водовідведення (RCO31): 3,384 км.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Кількість населення, підключеного до щонайменше вторинної очистки стічних вод (RCR42): 23 051 особа.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РОБОЧИЙ ПАКЕТ 3 - Реалізація </w:t>
            </w:r>
            <w:proofErr w:type="spellStart"/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інформаційно-промоційних</w:t>
            </w:r>
            <w:proofErr w:type="spellEnd"/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заходів відповідно до комунікаційного плану </w:t>
            </w:r>
            <w:proofErr w:type="spellStart"/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Проєкту</w:t>
            </w:r>
            <w:proofErr w:type="spellEnd"/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(</w:t>
            </w:r>
            <w:proofErr w:type="spellStart"/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Гміна</w:t>
            </w:r>
            <w:proofErr w:type="spellEnd"/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Долгобичув</w:t>
            </w:r>
            <w:proofErr w:type="spellEnd"/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– Польща, Сокальська міська рада – Україна)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Завдання 3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має так званий «м'який» характер. Воно спрямоване на проведення комунікаційних та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інформаційно-промоційних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заходів, які є обов’язковими в межах Програми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2021-2027». 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Ці заходи безпосередньо випливають із Комунікаційного плану, розробленого для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Безпосередньою метою дій, визначених у Комунікаційному плані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(які також є невід'ємною частиною Завдання 3), є поширення інформації про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серед цільових груп та кінцевих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бенефіціарів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Це включає інформування про реалізацію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його цілі, масштаби та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співфінансування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 фондів ЄС у межах Програми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Детальний перелік заходів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Організація та проведення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інформаційно-промоційної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зустрічі з нагоди запуску реалізації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Гміні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Долгобичув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(запланована кількість учасників – 30 осіб).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Організація та проведення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інформаційно-промоційної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зустрічі з нагоди запуску реалізації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місті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(запланована кількість учасників – 30 осіб).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Проведення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інформаційно-промоційної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підсумкової зустрічі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Гміні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Долгобичув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(запланована кількість учасників – 45 осіб).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Проведення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інформаційно-промоційної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підсумкової зустрічі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місті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(запланована кількість учасників – 40 осіб).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Додаткові заходи в межах реалізації Комунікаційного плану: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Встановлення стаціонарних інформаційних табличок із логотипами Програми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 у видимих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локаціях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Проведення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промоційної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кампанії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місцевих та регіональних медіа </w:t>
            </w: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(запланована кількість публікацій, пов’язаних із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проєктом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– 2 статті у Польщі, 2 статті в Україні).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Публікація та регулярне оновлення інформації про цілі, масштаб і заходи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(на офіційних веб-сайтах партнерів та/або сторінках у соціальних мережах).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Закупівля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промоційних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рол-апів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для використання під час офіційних заходів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Розробка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промоційних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матеріалів (сувенірна продукція та брошури для мешканців і відвідувачів громад) з метою популяризації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Приклади наборів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промоційних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матеріалів: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Екологічні сумки / багаторазові екологічні сумки (наприклад, з полотна або перероблених матеріалів).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Флеш-накопичувач із екологічних матеріалів.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Багаторазова/вий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термочашка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/ дорожній кухоль.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Екологічний блокнот із ручкою.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Багаторазова пляшка для води / фільтр-пляшка.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Заявник також планує випустити приблизно 400 примірників інформаційної брошури про транскордонну співпрацю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Гміни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Долгобичув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і міста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та реалізований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Формат: A5, приблизна кількість сторінок: 32.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Матеріали будуть використовуватися для просування самого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Промоційні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матеріали також спрямовані на популяризацію (серед учасників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та інших осіб) польсько-українського партнерства, встановленого між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Гміною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Долгобичув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і містом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для реалізації цього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як прикладу так званих «найкращих практик».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Промоційні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матеріали також планується використовувати як призи у міні конкурсах, запланованих у межах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Вони будуть адресовані переважно місцевій громаді та тематично сфокусовані на таких питаннях:</w:t>
            </w:r>
          </w:p>
          <w:p w:rsidR="00EA15A4" w:rsidRPr="00292866" w:rsidRDefault="00EA15A4" w:rsidP="00EA15A4">
            <w:pPr>
              <w:numPr>
                <w:ilvl w:val="0"/>
                <w:numId w:val="4"/>
              </w:numPr>
              <w:spacing w:after="0" w:line="240" w:lineRule="auto"/>
              <w:ind w:right="115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знання сфер та питань, які підтримує Програма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2021-2027»;</w:t>
            </w:r>
          </w:p>
          <w:p w:rsidR="00EA15A4" w:rsidRPr="00292866" w:rsidRDefault="00EA15A4" w:rsidP="00EA15A4">
            <w:pPr>
              <w:numPr>
                <w:ilvl w:val="0"/>
                <w:numId w:val="4"/>
              </w:numPr>
              <w:spacing w:after="0" w:line="240" w:lineRule="auto"/>
              <w:ind w:right="115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охорона якості природного середовища;</w:t>
            </w:r>
          </w:p>
          <w:p w:rsidR="00EA15A4" w:rsidRPr="00292866" w:rsidRDefault="00EA15A4" w:rsidP="00EA15A4">
            <w:pPr>
              <w:numPr>
                <w:ilvl w:val="0"/>
                <w:numId w:val="4"/>
              </w:numPr>
              <w:spacing w:after="0" w:line="240" w:lineRule="auto"/>
              <w:ind w:right="115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екологія, зменшення рівня забруднення та раціональне використання водних ресурсів тощо.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РОБОЧИЙ ПАКЕТ 4 - Проведення двосторонніх ознайомчих візитів та тематичних семінарів із партнерами </w:t>
            </w:r>
            <w:proofErr w:type="spellStart"/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проєкту</w:t>
            </w:r>
            <w:proofErr w:type="spellEnd"/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(</w:t>
            </w:r>
            <w:proofErr w:type="spellStart"/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Гміна</w:t>
            </w:r>
            <w:proofErr w:type="spellEnd"/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Долгобичув</w:t>
            </w:r>
            <w:proofErr w:type="spellEnd"/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– Польща, Сокальська міська рада – Україна)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Завдання 4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має так званий «м’який» характер. Воно спрямоване на здійснення комунікаційних та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інформаційно-промоційних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заходів, які є обов’язковими в рамках Програми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У межах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передбачено проведення ознайомчих візитів та тематичних семінарів – заходів, у яких візьмуть участь представники польського та українського партнерів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Детальний перелік заходів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Проведення транскордонного заходу – ознайомчого візиту до Польщі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Запланована кількість учасників: 10 осіб (5 представників від польського партнера та 5 представників від українського партнера).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Проведення транскордонного заходу – ознайомчого візиту до України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Запланована кількість учасників: 10 осіб (5 представників від польського партнера та 5 представників від українського партнера).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Мета ознайомчих візитів: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Взаємний обмін інформацією та досвідом щодо реалізації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на операційному, технічному та фінансовому рівнях.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Посилення транскордонної співпраці між партнерами у соціальній, культурній, економічній сферах, а також у сфері розвитку туризму.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Ознайомлення працівників, залучених до реалізації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 польського та українського боку, із практичними аспектами впровадження подібних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проєктів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обмін досвідом та найкращими практиками.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Проведення тематичного семінару в Польщі для працівників партнера, відповідальних за управління водопостачанням та водовідведенням. Запланована кількість учасників: 10 осіб.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Проведення тематичного семінару в Україні для працівників головного партнера, відповідальних за управління водопостачанням та водовідведенням. Запланована кількість учасників: 10 осіб.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Мета тематичних семінарів: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Обмін знаннями та передовими практиками щодо ефективних рішень в організації управління водопостачанням і водовідведенням у місцевих органах самоврядування, які беруть участь у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проєкті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Обмін досвідом у сфері впровадження ефективних заходів та перевірених інструментів, пов’язаних із охороною навколишнього середовища, збереженням ґрунтів, підземних та поверхневих вод.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Формат та очікувані результати заходів: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Тематичні семінари сприятимуть розвитку практичних навичок і знань серед працівників, відповідальних за управління водопостачанням і водовідведенням, через інтенсивні та структуровані тренінгові сесії.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Ознайомчі візити передбачають участь працівників, залучених до реалізації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а тематичні семінари будуть орієнтовані на вузькопрофільних спеціалістів у сфері водопостачання та водовідведення з польського та українського боку.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Важливо, що активна участь представників обох партнерів у підготовці та реалізації заходів є ключовою умовою їхньої ефективності та успішності.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РОБОЧИЙ ПАКЕТ 5 - Переклади документації (</w:t>
            </w:r>
            <w:proofErr w:type="spellStart"/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Гміна</w:t>
            </w:r>
            <w:proofErr w:type="spellEnd"/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Долгобичув</w:t>
            </w:r>
            <w:proofErr w:type="spellEnd"/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– Польща, Сокальська міська рада – Україна)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Переклад документації є необхідним для забезпечення ефективної комунікації, розуміння, відповідності законодавчим вимогам, соціальної участі та прозорості в межах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Це ключовий аспект управління транскордонним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проєктом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який сприяє його успішній реалізації та досягненню запланованих цілей. Переклад документації забезпечить узгодженість і якість інформації у різних мовних версіях. Перекладені документи будуть опрацьовуватися професійними перекладачами, які володіють галузевою термінологією, що дозволить мінімізувати ризик неоднозначностей і помилок в інтерпретації.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Фінансовий менеджер</w:t>
            </w: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№ PLUA.01.02-IP.01-0041/23 «Захист прикордонної річки Буг шляхом розширення санітарної мережі в прикордонних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гмінах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Долгобичув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» в межах Програми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2021-2027», що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співфінансується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Європейським Союзом через Міністерство фондів розвитку та регіональної політики Республіки Польща є відповідальним </w:t>
            </w:r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за виконання наступних завдань: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інформаційно-консультаційний супровід щодо фінансових питань (формування плану закупівель) під час оформлення пакету документів для перереєстрації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Секретаріаті Кабінету Міністрів України та облдержадміністрації, на території якої реалізується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забезпечення інформаційно-консультаційної підтримки з питань фінансового управління, підготовки фінансових та інших бухгалтерських документів та закупівельних процедур в межах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згідно Грантового контракту № PLUA.01.02-IP.01-0041/23-00 від 16.09.2024 та Партнерської угоди від 07.10.2024р.;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ab/>
              <w:t xml:space="preserve">забезпечення належного виконання бюджету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зі сторони Партнера 1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згідно Грантового контракту № PLUA.01.02-IP.01-0041/23-00 від 16.09.2024 та Партнерської угоди від 07.10.2024р.;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інформаційно-консультаційний супровід щодо формування та опису рахунків, актів виконаних робіт та іншої фінансової документації відповідно до вимог Програми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 та чинного законодавства України;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забезпечення своєчасного проведення платежів відповідно до умов договорів та графіку реалізації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інформаційно-консультаційний супровід управління договорами в межах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разом з координатором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та іншими залученими співробітниками Партнера 1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інформаційно-консультаційний супровід та контроль за відображенням належним чином в обліковій системі Партнера 1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витрачених коштів в межах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відповідно до вимог Програми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 та чинного законодавства України;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 інформаційно-консультаційний супровід щодо оформлення і надання для обліку первинних та інших необхідних документів</w:t>
            </w:r>
            <w:r w:rsidRPr="002928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відповідно до вимог Програми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 та чинного законодавства України; 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аналіз відхилень у витратах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від запланованого бюджету та надання рекомендацій щодо їх корекції відповідно до вимог Програми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 та чинного законодавства України; 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оцінка можливих фінансових ризиків у реалізації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та надання рекомендацій Партнеру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щодо їх мінімізації відповідно до вимог Програми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 та чинного законодавства України; 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розробка прогнозів витрат на наступні періоди для кожного етапу / робочого пакету реалізації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підготовка та узгодження фінансових даних з інформаційною частиною звітів про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та забезпечення гармонізації фінансових показників з іншими елементами моніторингу результатів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відповідно до вимог Програми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 та чинного законодавства України; 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інформаційно-консультаційний супровід та здійснення контролю за підготовкою тендерної документації,  передбаченої заходами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та за потреби, надання консультаційної підтримки в організації торгів/ процедур конкурсних відборів із закупівель, що виконуються в межах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відповідно до Закону України «Про публічні закупівлі», Плану закупівель, вимог Програми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Польща - Україна 2021-2027, Грантового контракту № PLUA.01.02-IP.01-0041/23-00 від 16.09.2024 та Партнерської угоди від 07.10.2024р.;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ab/>
              <w:t xml:space="preserve">забезпечення підготовки описів рахунків, узагальнення, формування та подачі проміжних та  фінального фінансових звітів щодо впровадження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згідно Грантового контракту № PLUA.01.02-IP.01-0041/23-00 від 16.09.2024 та Партнерської угоди від 07.10.2024р., Постанови Кабінету Міністрів України від 15.02.2002 р. № 153, інших чинних нормативних документів; 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ab/>
              <w:t xml:space="preserve">безпосередня участь у робочих та інших зустрічах/нарадах, в тому числі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онлайн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між  робочими групами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а вразі потреби, між іншими зацікавленими сторонами та Головним Партнером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для розгляду прогресу у здійсненні та реалізації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досягнення усіх результатів згідно умов Грантового контракту № PLUA.01.02-IP.01-0041/23-00 від 16.09.2024 та Партнерської угоди від 07.10.2024р.; 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ab/>
              <w:t xml:space="preserve">підготовка та подача необхідних змін до бюджету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до Головного Партнера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згідно Грантового контракту № PLUA.01.02-IP.01-0041/23-00 від 16.09.2024 та Партнерської угоди від 07.10.2024р.;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ab/>
              <w:t xml:space="preserve">інформаційно-консультаційний супровід з питань дотриманням вимог Програми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Польща - Україна 2021-2027 щодо прийнятності витрат та відповідності витрат запланованим бюджетним лініям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виявлення перешкод і ризиків для ефективного використання фінансів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попереджаючи відповідних зацікавлених осіб, що приймають рішення, а також пропонуючи заходи щодо виправлення становища відповідно до вимог Програми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 та чинного законодавства України;</w:t>
            </w:r>
          </w:p>
          <w:p w:rsidR="00EA15A4" w:rsidRPr="00292866" w:rsidRDefault="00EA15A4" w:rsidP="008008E6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ab/>
              <w:t xml:space="preserve">за потреби виконання інших завдань, пов’язаних з реалізацією </w:t>
            </w:r>
            <w:proofErr w:type="spellStart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згідно Грантового контракту № PLUA.01.02-IP.01-0041/23-00 від 16.09.2024 та Партнерської угоди від 07.10.2024р.</w:t>
            </w:r>
            <w:bookmarkEnd w:id="4"/>
          </w:p>
        </w:tc>
      </w:tr>
      <w:tr w:rsidR="00EA15A4" w:rsidRPr="00292866" w:rsidTr="008008E6">
        <w:trPr>
          <w:trHeight w:val="414"/>
        </w:trPr>
        <w:tc>
          <w:tcPr>
            <w:tcW w:w="2632" w:type="dxa"/>
          </w:tcPr>
          <w:p w:rsidR="00EA15A4" w:rsidRPr="00292866" w:rsidRDefault="00EA15A4" w:rsidP="008008E6">
            <w:pPr>
              <w:numPr>
                <w:ilvl w:val="1"/>
                <w:numId w:val="2"/>
              </w:numPr>
              <w:spacing w:after="0" w:line="240" w:lineRule="auto"/>
              <w:ind w:left="30" w:hanging="30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bookmarkStart w:id="5" w:name="_Ref483565090"/>
            <w:r w:rsidRPr="0029286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Якісні характеристики</w:t>
            </w:r>
            <w:bookmarkEnd w:id="5"/>
          </w:p>
        </w:tc>
        <w:tc>
          <w:tcPr>
            <w:tcW w:w="7433" w:type="dxa"/>
          </w:tcPr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0"/>
                <w:szCs w:val="20"/>
              </w:rPr>
              <w:t xml:space="preserve">Якість Послуг, які надаються Виконавцем, повинна відповідати максимально високим професійним стандартам для забезпечення всебічного і повного захисту та представництва прав та інтересів Замовника. </w:t>
            </w:r>
          </w:p>
          <w:p w:rsidR="00EA15A4" w:rsidRPr="00292866" w:rsidRDefault="00EA15A4" w:rsidP="00800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  <w:t>Якісне надання послуг передбачає (зокрема, але не виключно):</w:t>
            </w:r>
          </w:p>
          <w:p w:rsidR="00EA15A4" w:rsidRPr="00292866" w:rsidRDefault="00EA15A4" w:rsidP="00EA15A4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t xml:space="preserve">повне та своєчасне виконання завдань Замовника щодо питань з управління фінансами </w:t>
            </w:r>
            <w:proofErr w:type="spellStart"/>
            <w:r w:rsidRPr="002928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t xml:space="preserve"> відповідно до умов Грантового контракту № PLUA.01.02-IP.01-0041/23-00 від 16.09.2024 та Партнерської угоди від 07.10.2024р.;</w:t>
            </w:r>
          </w:p>
          <w:p w:rsidR="00EA15A4" w:rsidRPr="00292866" w:rsidRDefault="00EA15A4" w:rsidP="00EA15A4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t xml:space="preserve">ефективне управління фінансовими ресурсами </w:t>
            </w:r>
            <w:proofErr w:type="spellStart"/>
            <w:r w:rsidRPr="002928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t xml:space="preserve"> у відповідності до бюджету, затверджених фінансових процедур та вимог Програми </w:t>
            </w:r>
            <w:proofErr w:type="spellStart"/>
            <w:r w:rsidRPr="002928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t>Interreg</w:t>
            </w:r>
            <w:proofErr w:type="spellEnd"/>
            <w:r w:rsidRPr="002928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t xml:space="preserve"> NEXT Польща - Україна 2021-2027;</w:t>
            </w:r>
          </w:p>
          <w:p w:rsidR="00EA15A4" w:rsidRPr="00292866" w:rsidRDefault="00EA15A4" w:rsidP="00EA15A4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t xml:space="preserve">постійний фінансовий моніторинг для забезпечення контролю за витратами, </w:t>
            </w:r>
            <w:r w:rsidRPr="002928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lastRenderedPageBreak/>
              <w:t xml:space="preserve">аналізу їх відповідності запланованим бюджетним лініям та запобігання нецільовому використанню коштів </w:t>
            </w:r>
            <w:proofErr w:type="spellStart"/>
            <w:r w:rsidRPr="002928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t>;</w:t>
            </w:r>
          </w:p>
          <w:p w:rsidR="00EA15A4" w:rsidRPr="00292866" w:rsidRDefault="00EA15A4" w:rsidP="00EA15A4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t xml:space="preserve">врахування екологічних та соціальних стандартів у бюджетуванні та здійсненні закупівель, забезпечуючи сталість та екологічну відповідальність </w:t>
            </w:r>
            <w:proofErr w:type="spellStart"/>
            <w:r w:rsidRPr="002928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t>проєкту</w:t>
            </w:r>
            <w:proofErr w:type="spellEnd"/>
            <w:r w:rsidRPr="002928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t>;</w:t>
            </w:r>
          </w:p>
          <w:p w:rsidR="00EA15A4" w:rsidRPr="00292866" w:rsidRDefault="00EA15A4" w:rsidP="00EA15A4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t xml:space="preserve">дотримання принципів прозорості та підзвітності під час управління фінансами, забезпечення відповідності всіх витрат вимогам Програми </w:t>
            </w:r>
            <w:proofErr w:type="spellStart"/>
            <w:r w:rsidRPr="002928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t>Interreg</w:t>
            </w:r>
            <w:proofErr w:type="spellEnd"/>
            <w:r w:rsidRPr="002928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t xml:space="preserve"> NEXT Польща - Україна 2021-2027 та чинного законодавства України;</w:t>
            </w:r>
          </w:p>
          <w:p w:rsidR="00EA15A4" w:rsidRPr="00292866" w:rsidRDefault="00EA15A4" w:rsidP="00EA15A4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2928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t xml:space="preserve">забезпечення відповідності всіх фінансових процесів принципам </w:t>
            </w:r>
            <w:proofErr w:type="spellStart"/>
            <w:r w:rsidRPr="002928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t>інклюзивності</w:t>
            </w:r>
            <w:proofErr w:type="spellEnd"/>
            <w:r w:rsidRPr="002928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t xml:space="preserve"> та доступності, врахування гендерно-чутливих підходів у фінансовому управлінні.  </w:t>
            </w:r>
          </w:p>
        </w:tc>
      </w:tr>
    </w:tbl>
    <w:p w:rsidR="00CE6F96" w:rsidRPr="00CE6F96" w:rsidRDefault="00CE6F96" w:rsidP="00CE6F96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CE6F96" w:rsidRPr="00CE6F9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807" w:rsidRDefault="00AB2807" w:rsidP="00AF4CCC">
      <w:pPr>
        <w:spacing w:after="0" w:line="240" w:lineRule="auto"/>
      </w:pPr>
      <w:r>
        <w:separator/>
      </w:r>
    </w:p>
  </w:endnote>
  <w:endnote w:type="continuationSeparator" w:id="0">
    <w:p w:rsidR="00AB2807" w:rsidRDefault="00AB2807" w:rsidP="00AF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616806"/>
      <w:docPartObj>
        <w:docPartGallery w:val="Page Numbers (Bottom of Page)"/>
        <w:docPartUnique/>
      </w:docPartObj>
    </w:sdtPr>
    <w:sdtEndPr/>
    <w:sdtContent>
      <w:p w:rsidR="00EE3538" w:rsidRDefault="00EE35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D52">
          <w:rPr>
            <w:noProof/>
          </w:rPr>
          <w:t>1</w:t>
        </w:r>
        <w:r>
          <w:fldChar w:fldCharType="end"/>
        </w:r>
      </w:p>
    </w:sdtContent>
  </w:sdt>
  <w:p w:rsidR="00EE3538" w:rsidRDefault="00EE35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807" w:rsidRDefault="00AB2807" w:rsidP="00AF4CCC">
      <w:pPr>
        <w:spacing w:after="0" w:line="240" w:lineRule="auto"/>
      </w:pPr>
      <w:r>
        <w:separator/>
      </w:r>
    </w:p>
  </w:footnote>
  <w:footnote w:type="continuationSeparator" w:id="0">
    <w:p w:rsidR="00AB2807" w:rsidRDefault="00AB2807" w:rsidP="00AF4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CC" w:rsidRDefault="00AF4CCC">
    <w:pPr>
      <w:pStyle w:val="a3"/>
    </w:pPr>
    <w:r w:rsidRPr="0070136A">
      <w:rPr>
        <w:noProof/>
      </w:rPr>
      <w:drawing>
        <wp:inline distT="0" distB="0" distL="0" distR="0" wp14:anchorId="78070758" wp14:editId="40B1A538">
          <wp:extent cx="3672000" cy="644400"/>
          <wp:effectExtent l="0" t="0" r="5080" b="381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2000" cy="64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482D"/>
    <w:multiLevelType w:val="hybridMultilevel"/>
    <w:tmpl w:val="54ACDE3E"/>
    <w:lvl w:ilvl="0" w:tplc="B4662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C3CC3"/>
    <w:multiLevelType w:val="multilevel"/>
    <w:tmpl w:val="6B285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  <w:i w:val="0"/>
        <w:iCs/>
        <w:color w:val="000000"/>
      </w:rPr>
    </w:lvl>
    <w:lvl w:ilvl="3">
      <w:start w:val="1"/>
      <w:numFmt w:val="lowerLetter"/>
      <w:lvlText w:val="%4)"/>
      <w:lvlJc w:val="left"/>
      <w:rPr>
        <w:rFonts w:ascii="Times New Roman" w:eastAsia="Calibri" w:hAnsi="Times New Roman"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301723"/>
    <w:multiLevelType w:val="hybridMultilevel"/>
    <w:tmpl w:val="83C80972"/>
    <w:lvl w:ilvl="0" w:tplc="EC80AE7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67426"/>
    <w:multiLevelType w:val="hybridMultilevel"/>
    <w:tmpl w:val="643CBDC8"/>
    <w:lvl w:ilvl="0" w:tplc="88FA5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B0FC9"/>
    <w:multiLevelType w:val="hybridMultilevel"/>
    <w:tmpl w:val="ECC004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56"/>
    <w:rsid w:val="001801A0"/>
    <w:rsid w:val="001D7071"/>
    <w:rsid w:val="001E740A"/>
    <w:rsid w:val="00292866"/>
    <w:rsid w:val="002D33BE"/>
    <w:rsid w:val="0033689A"/>
    <w:rsid w:val="0039399D"/>
    <w:rsid w:val="003E5AD6"/>
    <w:rsid w:val="003F6068"/>
    <w:rsid w:val="005A2EB2"/>
    <w:rsid w:val="007D0485"/>
    <w:rsid w:val="00820D52"/>
    <w:rsid w:val="008B2E34"/>
    <w:rsid w:val="00925BFD"/>
    <w:rsid w:val="00940923"/>
    <w:rsid w:val="00975C85"/>
    <w:rsid w:val="00AB2807"/>
    <w:rsid w:val="00AF4CCC"/>
    <w:rsid w:val="00B00256"/>
    <w:rsid w:val="00CE078A"/>
    <w:rsid w:val="00CE6F96"/>
    <w:rsid w:val="00D009FE"/>
    <w:rsid w:val="00DA0924"/>
    <w:rsid w:val="00E90EE0"/>
    <w:rsid w:val="00EA15A4"/>
    <w:rsid w:val="00EE3538"/>
    <w:rsid w:val="00F07A63"/>
    <w:rsid w:val="00F7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FE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D00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F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F4CCC"/>
    <w:rPr>
      <w:rFonts w:ascii="Calibri" w:eastAsia="Calibri" w:hAnsi="Calibri" w:cs="Times New Roman"/>
      <w:lang w:eastAsia="uk-UA"/>
    </w:rPr>
  </w:style>
  <w:style w:type="paragraph" w:styleId="a5">
    <w:name w:val="footer"/>
    <w:basedOn w:val="a"/>
    <w:link w:val="a6"/>
    <w:uiPriority w:val="99"/>
    <w:unhideWhenUsed/>
    <w:rsid w:val="00AF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F4CCC"/>
    <w:rPr>
      <w:rFonts w:ascii="Calibri" w:eastAsia="Calibri" w:hAnsi="Calibri" w:cs="Times New Roman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AF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F4CCC"/>
    <w:rPr>
      <w:rFonts w:ascii="Tahoma" w:eastAsia="Calibri" w:hAnsi="Tahoma" w:cs="Tahoma"/>
      <w:sz w:val="16"/>
      <w:szCs w:val="16"/>
      <w:lang w:eastAsia="uk-UA"/>
    </w:rPr>
  </w:style>
  <w:style w:type="paragraph" w:styleId="a9">
    <w:name w:val="List Paragraph"/>
    <w:aliases w:val="EBRD List,Список уровня 2,название табл/рис,заголовок 1.1,AC List 01,Chapter10,Bullet Number,Bullet 1,Use Case List Paragraph,lp1,lp11,List Paragraph11,CA bullets,Elenco Normale,Литература,Number Bullets,Абзац списку 1,тв-Абзац списка"/>
    <w:basedOn w:val="a"/>
    <w:link w:val="aa"/>
    <w:uiPriority w:val="34"/>
    <w:qFormat/>
    <w:rsid w:val="00CE6F96"/>
    <w:pPr>
      <w:spacing w:after="160" w:line="259" w:lineRule="auto"/>
      <w:ind w:left="720"/>
      <w:contextualSpacing/>
    </w:pPr>
    <w:rPr>
      <w:rFonts w:cs="Calibri"/>
    </w:rPr>
  </w:style>
  <w:style w:type="character" w:customStyle="1" w:styleId="aa">
    <w:name w:val="Абзац списку Знак"/>
    <w:aliases w:val="EBRD List Знак,Список уровня 2 Знак,название табл/рис Знак,заголовок 1.1 Знак,AC List 01 Знак,Chapter10 Знак,Bullet Number Знак,Bullet 1 Знак,Use Case List Paragraph Знак,lp1 Знак,lp11 Знак,List Paragraph11 Знак,CA bullets Знак"/>
    <w:link w:val="a9"/>
    <w:uiPriority w:val="34"/>
    <w:locked/>
    <w:rsid w:val="00CE6F96"/>
    <w:rPr>
      <w:rFonts w:ascii="Calibri" w:eastAsia="Calibri" w:hAnsi="Calibri" w:cs="Calibri"/>
      <w:lang w:eastAsia="uk-UA"/>
    </w:rPr>
  </w:style>
  <w:style w:type="paragraph" w:styleId="ab">
    <w:name w:val="Normal (Web)"/>
    <w:basedOn w:val="a"/>
    <w:uiPriority w:val="99"/>
    <w:semiHidden/>
    <w:unhideWhenUsed/>
    <w:rsid w:val="00CE6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CE6F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FE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D00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F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F4CCC"/>
    <w:rPr>
      <w:rFonts w:ascii="Calibri" w:eastAsia="Calibri" w:hAnsi="Calibri" w:cs="Times New Roman"/>
      <w:lang w:eastAsia="uk-UA"/>
    </w:rPr>
  </w:style>
  <w:style w:type="paragraph" w:styleId="a5">
    <w:name w:val="footer"/>
    <w:basedOn w:val="a"/>
    <w:link w:val="a6"/>
    <w:uiPriority w:val="99"/>
    <w:unhideWhenUsed/>
    <w:rsid w:val="00AF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F4CCC"/>
    <w:rPr>
      <w:rFonts w:ascii="Calibri" w:eastAsia="Calibri" w:hAnsi="Calibri" w:cs="Times New Roman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AF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F4CCC"/>
    <w:rPr>
      <w:rFonts w:ascii="Tahoma" w:eastAsia="Calibri" w:hAnsi="Tahoma" w:cs="Tahoma"/>
      <w:sz w:val="16"/>
      <w:szCs w:val="16"/>
      <w:lang w:eastAsia="uk-UA"/>
    </w:rPr>
  </w:style>
  <w:style w:type="paragraph" w:styleId="a9">
    <w:name w:val="List Paragraph"/>
    <w:aliases w:val="EBRD List,Список уровня 2,название табл/рис,заголовок 1.1,AC List 01,Chapter10,Bullet Number,Bullet 1,Use Case List Paragraph,lp1,lp11,List Paragraph11,CA bullets,Elenco Normale,Литература,Number Bullets,Абзац списку 1,тв-Абзац списка"/>
    <w:basedOn w:val="a"/>
    <w:link w:val="aa"/>
    <w:uiPriority w:val="34"/>
    <w:qFormat/>
    <w:rsid w:val="00CE6F96"/>
    <w:pPr>
      <w:spacing w:after="160" w:line="259" w:lineRule="auto"/>
      <w:ind w:left="720"/>
      <w:contextualSpacing/>
    </w:pPr>
    <w:rPr>
      <w:rFonts w:cs="Calibri"/>
    </w:rPr>
  </w:style>
  <w:style w:type="character" w:customStyle="1" w:styleId="aa">
    <w:name w:val="Абзац списку Знак"/>
    <w:aliases w:val="EBRD List Знак,Список уровня 2 Знак,название табл/рис Знак,заголовок 1.1 Знак,AC List 01 Знак,Chapter10 Знак,Bullet Number Знак,Bullet 1 Знак,Use Case List Paragraph Знак,lp1 Знак,lp11 Знак,List Paragraph11 Знак,CA bullets Знак"/>
    <w:link w:val="a9"/>
    <w:uiPriority w:val="34"/>
    <w:locked/>
    <w:rsid w:val="00CE6F96"/>
    <w:rPr>
      <w:rFonts w:ascii="Calibri" w:eastAsia="Calibri" w:hAnsi="Calibri" w:cs="Calibri"/>
      <w:lang w:eastAsia="uk-UA"/>
    </w:rPr>
  </w:style>
  <w:style w:type="paragraph" w:styleId="ab">
    <w:name w:val="Normal (Web)"/>
    <w:basedOn w:val="a"/>
    <w:uiPriority w:val="99"/>
    <w:semiHidden/>
    <w:unhideWhenUsed/>
    <w:rsid w:val="00CE6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CE6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16481</Words>
  <Characters>9395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19</cp:revision>
  <dcterms:created xsi:type="dcterms:W3CDTF">2024-12-19T15:57:00Z</dcterms:created>
  <dcterms:modified xsi:type="dcterms:W3CDTF">2025-04-17T12:26:00Z</dcterms:modified>
</cp:coreProperties>
</file>