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FE" w:rsidRDefault="00D009FE" w:rsidP="001D707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СОКАЛЬСЬКА МІСЬКА РАДА ЛЬВІВСЬКОЇ ОБЛАСТІ</w:t>
      </w:r>
    </w:p>
    <w:p w:rsidR="00D009FE" w:rsidRDefault="00D009FE" w:rsidP="001D707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D009FE" w:rsidRPr="001D7071" w:rsidRDefault="00D009FE" w:rsidP="001D7071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1D7071">
        <w:rPr>
          <w:rFonts w:ascii="Times New Roman" w:eastAsia="Times New Roman" w:hAnsi="Times New Roman"/>
          <w:i/>
          <w:sz w:val="20"/>
          <w:szCs w:val="20"/>
        </w:rPr>
        <w:t>технічних та якісних характеристик, розміру бюджетного призначення, очікуваної вартості предмета закупівлі товару</w:t>
      </w:r>
    </w:p>
    <w:p w:rsidR="00AF4CCC" w:rsidRPr="001801A0" w:rsidRDefault="00AF4CCC" w:rsidP="001801A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за кошти Гранту Європейського Союзу для України та </w:t>
      </w:r>
      <w:proofErr w:type="spellStart"/>
      <w:r w:rsidRPr="001D7071">
        <w:rPr>
          <w:rFonts w:ascii="Times New Roman" w:eastAsia="Times New Roman" w:hAnsi="Times New Roman"/>
          <w:i/>
          <w:sz w:val="20"/>
          <w:szCs w:val="20"/>
        </w:rPr>
        <w:t>співфінансування</w:t>
      </w:r>
      <w:proofErr w:type="spellEnd"/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 Сокальської міської ради Львівської області згідно бюджету </w:t>
      </w:r>
      <w:proofErr w:type="spellStart"/>
      <w:r w:rsidRPr="001D7071">
        <w:rPr>
          <w:rFonts w:ascii="Times New Roman" w:eastAsia="Times New Roman" w:hAnsi="Times New Roman"/>
          <w:i/>
          <w:sz w:val="20"/>
          <w:szCs w:val="20"/>
        </w:rPr>
        <w:t>Проєкту</w:t>
      </w:r>
      <w:proofErr w:type="spellEnd"/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 № PLUА.01.02-IP.01-0041/23 «Захист прикордонної річки Буг шляхом розширення санітарної мережі в прикордонних </w:t>
      </w:r>
      <w:proofErr w:type="spellStart"/>
      <w:r w:rsidRPr="001D7071">
        <w:rPr>
          <w:rFonts w:ascii="Times New Roman" w:eastAsia="Times New Roman" w:hAnsi="Times New Roman"/>
          <w:i/>
          <w:sz w:val="20"/>
          <w:szCs w:val="20"/>
        </w:rPr>
        <w:t>гмінах</w:t>
      </w:r>
      <w:proofErr w:type="spellEnd"/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proofErr w:type="spellStart"/>
      <w:r w:rsidRPr="001D7071">
        <w:rPr>
          <w:rFonts w:ascii="Times New Roman" w:eastAsia="Times New Roman" w:hAnsi="Times New Roman"/>
          <w:i/>
          <w:sz w:val="20"/>
          <w:szCs w:val="20"/>
        </w:rPr>
        <w:t>Долгобичув</w:t>
      </w:r>
      <w:proofErr w:type="spellEnd"/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 та </w:t>
      </w:r>
      <w:proofErr w:type="spellStart"/>
      <w:r w:rsidRPr="001D7071">
        <w:rPr>
          <w:rFonts w:ascii="Times New Roman" w:eastAsia="Times New Roman" w:hAnsi="Times New Roman"/>
          <w:i/>
          <w:sz w:val="20"/>
          <w:szCs w:val="20"/>
        </w:rPr>
        <w:t>Сокаль</w:t>
      </w:r>
      <w:proofErr w:type="spellEnd"/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» в межах Програми </w:t>
      </w:r>
      <w:proofErr w:type="spellStart"/>
      <w:r w:rsidRPr="001D7071">
        <w:rPr>
          <w:rFonts w:ascii="Times New Roman" w:eastAsia="Times New Roman" w:hAnsi="Times New Roman"/>
          <w:i/>
          <w:sz w:val="20"/>
          <w:szCs w:val="20"/>
        </w:rPr>
        <w:t>Interreg</w:t>
      </w:r>
      <w:proofErr w:type="spellEnd"/>
      <w:r w:rsidRPr="001D7071">
        <w:rPr>
          <w:rFonts w:ascii="Times New Roman" w:eastAsia="Times New Roman" w:hAnsi="Times New Roman"/>
          <w:i/>
          <w:sz w:val="20"/>
          <w:szCs w:val="20"/>
        </w:rPr>
        <w:t xml:space="preserve"> NEXT Польща – Україна 2021-2027</w:t>
      </w:r>
    </w:p>
    <w:p w:rsidR="00C535EA" w:rsidRDefault="00C535EA" w:rsidP="00C535E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535EA">
        <w:rPr>
          <w:rFonts w:ascii="Times New Roman" w:eastAsia="Times New Roman" w:hAnsi="Times New Roman"/>
          <w:b/>
          <w:sz w:val="20"/>
          <w:szCs w:val="20"/>
        </w:rPr>
        <w:t xml:space="preserve">Послуги комунікаційного менеджера </w:t>
      </w:r>
      <w:proofErr w:type="spellStart"/>
      <w:r w:rsidRPr="00C535EA">
        <w:rPr>
          <w:rFonts w:ascii="Times New Roman" w:eastAsia="Times New Roman" w:hAnsi="Times New Roman"/>
          <w:b/>
          <w:sz w:val="20"/>
          <w:szCs w:val="20"/>
        </w:rPr>
        <w:t>проєкту</w:t>
      </w:r>
      <w:proofErr w:type="spellEnd"/>
      <w:r w:rsidRPr="00C535EA">
        <w:rPr>
          <w:rFonts w:ascii="Times New Roman" w:eastAsia="Times New Roman" w:hAnsi="Times New Roman"/>
          <w:b/>
          <w:sz w:val="20"/>
          <w:szCs w:val="20"/>
        </w:rPr>
        <w:t xml:space="preserve"> № PLUA.01.02-IP.01-0041/23 «Захист прикордонної річки Буг шляхом розширення санітарної мережі в прикордонних </w:t>
      </w:r>
      <w:proofErr w:type="spellStart"/>
      <w:r w:rsidRPr="00C535EA">
        <w:rPr>
          <w:rFonts w:ascii="Times New Roman" w:eastAsia="Times New Roman" w:hAnsi="Times New Roman"/>
          <w:b/>
          <w:sz w:val="20"/>
          <w:szCs w:val="20"/>
        </w:rPr>
        <w:t>гмінах</w:t>
      </w:r>
      <w:proofErr w:type="spellEnd"/>
      <w:r w:rsidRPr="00C535E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 w:rsidRPr="00C535EA">
        <w:rPr>
          <w:rFonts w:ascii="Times New Roman" w:eastAsia="Times New Roman" w:hAnsi="Times New Roman"/>
          <w:b/>
          <w:sz w:val="20"/>
          <w:szCs w:val="20"/>
        </w:rPr>
        <w:t>Долгобичув</w:t>
      </w:r>
      <w:proofErr w:type="spellEnd"/>
      <w:r w:rsidRPr="00C535EA">
        <w:rPr>
          <w:rFonts w:ascii="Times New Roman" w:eastAsia="Times New Roman" w:hAnsi="Times New Roman"/>
          <w:b/>
          <w:sz w:val="20"/>
          <w:szCs w:val="20"/>
        </w:rPr>
        <w:t xml:space="preserve"> та </w:t>
      </w:r>
      <w:proofErr w:type="spellStart"/>
      <w:r w:rsidRPr="00C535EA">
        <w:rPr>
          <w:rFonts w:ascii="Times New Roman" w:eastAsia="Times New Roman" w:hAnsi="Times New Roman"/>
          <w:b/>
          <w:sz w:val="20"/>
          <w:szCs w:val="20"/>
        </w:rPr>
        <w:t>Сокаль</w:t>
      </w:r>
      <w:proofErr w:type="spellEnd"/>
      <w:r w:rsidRPr="00C535EA">
        <w:rPr>
          <w:rFonts w:ascii="Times New Roman" w:eastAsia="Times New Roman" w:hAnsi="Times New Roman"/>
          <w:b/>
          <w:sz w:val="20"/>
          <w:szCs w:val="20"/>
        </w:rPr>
        <w:t xml:space="preserve">» в межах Програми </w:t>
      </w:r>
      <w:proofErr w:type="spellStart"/>
      <w:r w:rsidRPr="00C535EA">
        <w:rPr>
          <w:rFonts w:ascii="Times New Roman" w:eastAsia="Times New Roman" w:hAnsi="Times New Roman"/>
          <w:b/>
          <w:sz w:val="20"/>
          <w:szCs w:val="20"/>
        </w:rPr>
        <w:t>Interreg</w:t>
      </w:r>
      <w:proofErr w:type="spellEnd"/>
      <w:r w:rsidRPr="00C535EA">
        <w:rPr>
          <w:rFonts w:ascii="Times New Roman" w:eastAsia="Times New Roman" w:hAnsi="Times New Roman"/>
          <w:b/>
          <w:sz w:val="20"/>
          <w:szCs w:val="20"/>
        </w:rPr>
        <w:t xml:space="preserve"> NEXT «Польща – Україна 2021-2027», що </w:t>
      </w:r>
      <w:proofErr w:type="spellStart"/>
      <w:r w:rsidRPr="00C535EA">
        <w:rPr>
          <w:rFonts w:ascii="Times New Roman" w:eastAsia="Times New Roman" w:hAnsi="Times New Roman"/>
          <w:b/>
          <w:sz w:val="20"/>
          <w:szCs w:val="20"/>
        </w:rPr>
        <w:t>співфінансується</w:t>
      </w:r>
      <w:proofErr w:type="spellEnd"/>
      <w:r w:rsidRPr="00C535EA">
        <w:rPr>
          <w:rFonts w:ascii="Times New Roman" w:eastAsia="Times New Roman" w:hAnsi="Times New Roman"/>
          <w:b/>
          <w:sz w:val="20"/>
          <w:szCs w:val="20"/>
        </w:rPr>
        <w:t xml:space="preserve"> Європейським Союзом через Міністерство фондів розвитку та регіональної політики Республіки Польща </w:t>
      </w:r>
    </w:p>
    <w:p w:rsidR="00C535EA" w:rsidRDefault="00C535EA" w:rsidP="00C535E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535EA">
        <w:rPr>
          <w:rFonts w:ascii="Times New Roman" w:eastAsia="Times New Roman" w:hAnsi="Times New Roman"/>
          <w:b/>
          <w:sz w:val="20"/>
          <w:szCs w:val="20"/>
        </w:rPr>
        <w:t>ДК 021:2015: 79340000-9 Рекламні та маркетингові послуги</w:t>
      </w:r>
    </w:p>
    <w:p w:rsidR="00D009FE" w:rsidRDefault="00D009FE" w:rsidP="003E5AD6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3E5AD6" w:rsidRPr="003E5AD6" w:rsidRDefault="001801A0" w:rsidP="00D009FE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sz w:val="20"/>
          <w:szCs w:val="20"/>
        </w:rPr>
        <w:t>м.Сокаль</w:t>
      </w:r>
      <w:proofErr w:type="spellEnd"/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>10</w:t>
      </w:r>
      <w:r w:rsidR="003E5AD6" w:rsidRPr="003E5AD6">
        <w:rPr>
          <w:rFonts w:ascii="Times New Roman" w:eastAsia="Times New Roman" w:hAnsi="Times New Roman"/>
          <w:sz w:val="20"/>
          <w:szCs w:val="20"/>
        </w:rPr>
        <w:t>.04.2025 року</w:t>
      </w:r>
    </w:p>
    <w:p w:rsidR="00D009FE" w:rsidRDefault="008B2E34" w:rsidP="00D009FE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1. </w:t>
      </w:r>
      <w:r w:rsidR="00D009FE"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tbl>
      <w:tblPr>
        <w:tblW w:w="99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5"/>
        <w:gridCol w:w="5801"/>
      </w:tblGrid>
      <w:tr w:rsidR="00D009FE" w:rsidTr="00D009FE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Найменування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Сокальська міська рада Львівської області</w:t>
            </w:r>
          </w:p>
        </w:tc>
      </w:tr>
      <w:tr w:rsidR="00D009FE" w:rsidTr="00D009FE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Місцезнаходження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80001, Україна , Львівська обл., місто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Сокаль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, вулиця Шептицького, будинок 44.</w:t>
            </w:r>
          </w:p>
        </w:tc>
      </w:tr>
      <w:tr w:rsidR="00D009FE" w:rsidTr="00D009FE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Код згідно з ЄДРПОУ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26205171</w:t>
            </w:r>
          </w:p>
        </w:tc>
      </w:tr>
      <w:tr w:rsidR="00D009FE" w:rsidTr="00D009FE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spacing w:after="120"/>
              <w:textAlignment w:val="top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  <w:t>Категорія замовника: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9FE" w:rsidRDefault="00D009FE">
            <w:pPr>
              <w:pStyle w:val="rvps2"/>
              <w:shd w:val="clear" w:color="auto" w:fill="FFFFFF"/>
              <w:spacing w:line="276" w:lineRule="auto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>
              <w:rPr>
                <w:b/>
                <w:sz w:val="20"/>
                <w:szCs w:val="20"/>
                <w:shd w:val="clear" w:color="auto" w:fill="FFFFFF"/>
                <w:lang w:val="uk-UA"/>
              </w:rPr>
              <w:t>.</w:t>
            </w:r>
          </w:p>
        </w:tc>
      </w:tr>
    </w:tbl>
    <w:p w:rsidR="00C535EA" w:rsidRDefault="008B2E34" w:rsidP="00C535EA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0" w:name="_heading=h.gjdgxs"/>
      <w:bookmarkEnd w:id="0"/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2. </w:t>
      </w:r>
      <w:r w:rsidR="00D009FE"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D009FE">
        <w:rPr>
          <w:rFonts w:ascii="Times New Roman" w:eastAsia="Times New Roman" w:hAnsi="Times New Roman"/>
          <w:sz w:val="20"/>
          <w:szCs w:val="20"/>
        </w:rPr>
        <w:t xml:space="preserve"> </w:t>
      </w:r>
      <w:r w:rsidR="00C535EA" w:rsidRPr="00C535EA">
        <w:rPr>
          <w:rFonts w:ascii="Times New Roman" w:eastAsia="Times New Roman" w:hAnsi="Times New Roman"/>
          <w:sz w:val="20"/>
          <w:szCs w:val="20"/>
        </w:rPr>
        <w:t xml:space="preserve">Послуги комунікаційного менеджера </w:t>
      </w:r>
      <w:proofErr w:type="spellStart"/>
      <w:r w:rsidR="00C535EA" w:rsidRPr="00C535EA">
        <w:rPr>
          <w:rFonts w:ascii="Times New Roman" w:eastAsia="Times New Roman" w:hAnsi="Times New Roman"/>
          <w:sz w:val="20"/>
          <w:szCs w:val="20"/>
        </w:rPr>
        <w:t>проєкту</w:t>
      </w:r>
      <w:proofErr w:type="spellEnd"/>
      <w:r w:rsidR="00C535EA" w:rsidRPr="00C535EA">
        <w:rPr>
          <w:rFonts w:ascii="Times New Roman" w:eastAsia="Times New Roman" w:hAnsi="Times New Roman"/>
          <w:sz w:val="20"/>
          <w:szCs w:val="20"/>
        </w:rPr>
        <w:t xml:space="preserve"> № PLUA.01.02-IP.01-0041/23 «Захист прикордонної річки Буг шляхом розширення санітарної мережі в прикордонних </w:t>
      </w:r>
      <w:proofErr w:type="spellStart"/>
      <w:r w:rsidR="00C535EA" w:rsidRPr="00C535EA">
        <w:rPr>
          <w:rFonts w:ascii="Times New Roman" w:eastAsia="Times New Roman" w:hAnsi="Times New Roman"/>
          <w:sz w:val="20"/>
          <w:szCs w:val="20"/>
        </w:rPr>
        <w:t>гмінах</w:t>
      </w:r>
      <w:proofErr w:type="spellEnd"/>
      <w:r w:rsidR="00C535EA" w:rsidRPr="00C535EA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C535EA" w:rsidRPr="00C535EA">
        <w:rPr>
          <w:rFonts w:ascii="Times New Roman" w:eastAsia="Times New Roman" w:hAnsi="Times New Roman"/>
          <w:sz w:val="20"/>
          <w:szCs w:val="20"/>
        </w:rPr>
        <w:t>Долгобичув</w:t>
      </w:r>
      <w:proofErr w:type="spellEnd"/>
      <w:r w:rsidR="00C535EA" w:rsidRPr="00C535EA">
        <w:rPr>
          <w:rFonts w:ascii="Times New Roman" w:eastAsia="Times New Roman" w:hAnsi="Times New Roman"/>
          <w:sz w:val="20"/>
          <w:szCs w:val="20"/>
        </w:rPr>
        <w:t xml:space="preserve"> та </w:t>
      </w:r>
      <w:proofErr w:type="spellStart"/>
      <w:r w:rsidR="00C535EA" w:rsidRPr="00C535EA">
        <w:rPr>
          <w:rFonts w:ascii="Times New Roman" w:eastAsia="Times New Roman" w:hAnsi="Times New Roman"/>
          <w:sz w:val="20"/>
          <w:szCs w:val="20"/>
        </w:rPr>
        <w:t>Сокаль</w:t>
      </w:r>
      <w:proofErr w:type="spellEnd"/>
      <w:r w:rsidR="00C535EA" w:rsidRPr="00C535EA">
        <w:rPr>
          <w:rFonts w:ascii="Times New Roman" w:eastAsia="Times New Roman" w:hAnsi="Times New Roman"/>
          <w:sz w:val="20"/>
          <w:szCs w:val="20"/>
        </w:rPr>
        <w:t xml:space="preserve">» в межах Програми </w:t>
      </w:r>
      <w:proofErr w:type="spellStart"/>
      <w:r w:rsidR="00C535EA" w:rsidRPr="00C535EA">
        <w:rPr>
          <w:rFonts w:ascii="Times New Roman" w:eastAsia="Times New Roman" w:hAnsi="Times New Roman"/>
          <w:sz w:val="20"/>
          <w:szCs w:val="20"/>
        </w:rPr>
        <w:t>Interreg</w:t>
      </w:r>
      <w:proofErr w:type="spellEnd"/>
      <w:r w:rsidR="00C535EA" w:rsidRPr="00C535EA">
        <w:rPr>
          <w:rFonts w:ascii="Times New Roman" w:eastAsia="Times New Roman" w:hAnsi="Times New Roman"/>
          <w:sz w:val="20"/>
          <w:szCs w:val="20"/>
        </w:rPr>
        <w:t xml:space="preserve"> NEXT «Польща – Україна 2021-2027», що </w:t>
      </w:r>
      <w:proofErr w:type="spellStart"/>
      <w:r w:rsidR="00C535EA" w:rsidRPr="00C535EA">
        <w:rPr>
          <w:rFonts w:ascii="Times New Roman" w:eastAsia="Times New Roman" w:hAnsi="Times New Roman"/>
          <w:sz w:val="20"/>
          <w:szCs w:val="20"/>
        </w:rPr>
        <w:t>співфінансується</w:t>
      </w:r>
      <w:proofErr w:type="spellEnd"/>
      <w:r w:rsidR="00C535EA" w:rsidRPr="00C535EA">
        <w:rPr>
          <w:rFonts w:ascii="Times New Roman" w:eastAsia="Times New Roman" w:hAnsi="Times New Roman"/>
          <w:sz w:val="20"/>
          <w:szCs w:val="20"/>
        </w:rPr>
        <w:t xml:space="preserve"> Європейським Союзом через Міністерство фондів розвитку та регіональ</w:t>
      </w:r>
      <w:r w:rsidR="00C535EA">
        <w:rPr>
          <w:rFonts w:ascii="Times New Roman" w:eastAsia="Times New Roman" w:hAnsi="Times New Roman"/>
          <w:sz w:val="20"/>
          <w:szCs w:val="20"/>
        </w:rPr>
        <w:t xml:space="preserve">ної політики Республіки Польща </w:t>
      </w:r>
      <w:r w:rsidR="00C535EA" w:rsidRPr="00C535EA">
        <w:rPr>
          <w:rFonts w:ascii="Times New Roman" w:eastAsia="Times New Roman" w:hAnsi="Times New Roman"/>
          <w:sz w:val="20"/>
          <w:szCs w:val="20"/>
        </w:rPr>
        <w:t>ДК 021:2015: 79340000-9 Рекламні та маркетингові послуги</w:t>
      </w:r>
    </w:p>
    <w:p w:rsidR="003F6068" w:rsidRDefault="008B2E34" w:rsidP="00C535EA">
      <w:pPr>
        <w:spacing w:before="280" w:after="280" w:line="240" w:lineRule="auto"/>
        <w:jc w:val="both"/>
        <w:rPr>
          <w:rFonts w:ascii="Times New Roman" w:hAnsi="Times New Roman"/>
          <w:b/>
          <w:color w:val="333333"/>
          <w:szCs w:val="20"/>
          <w:shd w:val="clear" w:color="auto" w:fill="FFFFFF"/>
        </w:rPr>
      </w:pPr>
      <w:r>
        <w:rPr>
          <w:rFonts w:ascii="Times New Roman" w:eastAsia="Times New Roman" w:hAnsi="Times New Roman"/>
          <w:sz w:val="20"/>
          <w:szCs w:val="20"/>
        </w:rPr>
        <w:t xml:space="preserve">3. </w:t>
      </w:r>
      <w:r w:rsidR="00D009FE"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 w:rsidR="00D009FE">
        <w:rPr>
          <w:rFonts w:ascii="Times New Roman" w:eastAsia="Times New Roman" w:hAnsi="Times New Roman"/>
          <w:sz w:val="20"/>
          <w:szCs w:val="20"/>
        </w:rPr>
        <w:t xml:space="preserve"> Відкриті торги з особливостями </w:t>
      </w:r>
      <w:r w:rsidR="00C535EA" w:rsidRPr="00C535EA">
        <w:rPr>
          <w:rFonts w:ascii="Times New Roman" w:hAnsi="Times New Roman"/>
          <w:b/>
          <w:color w:val="333333"/>
          <w:szCs w:val="20"/>
          <w:shd w:val="clear" w:color="auto" w:fill="FFFFFF"/>
        </w:rPr>
        <w:t>UA-2025-04-10-013911-a</w:t>
      </w:r>
    </w:p>
    <w:p w:rsidR="00D009FE" w:rsidRDefault="003F6068" w:rsidP="00D009FE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333333"/>
          <w:szCs w:val="20"/>
          <w:shd w:val="clear" w:color="auto" w:fill="FFFFFF"/>
        </w:rPr>
        <w:t xml:space="preserve">4. </w:t>
      </w:r>
      <w:r w:rsidR="00D009FE"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</w:t>
      </w:r>
      <w:r w:rsidR="00D009FE" w:rsidRPr="00F07A63">
        <w:rPr>
          <w:rFonts w:ascii="Times New Roman" w:eastAsia="Times New Roman" w:hAnsi="Times New Roman"/>
          <w:b/>
          <w:sz w:val="20"/>
          <w:szCs w:val="20"/>
        </w:rPr>
        <w:t>:</w:t>
      </w:r>
      <w:r w:rsidR="00D009FE" w:rsidRPr="00F07A63">
        <w:rPr>
          <w:rFonts w:ascii="Times New Roman" w:eastAsia="Times New Roman" w:hAnsi="Times New Roman"/>
          <w:sz w:val="20"/>
          <w:szCs w:val="20"/>
        </w:rPr>
        <w:t xml:space="preserve"> </w:t>
      </w:r>
      <w:r w:rsidR="00C535EA" w:rsidRPr="00C535EA">
        <w:rPr>
          <w:rFonts w:ascii="Times New Roman" w:eastAsia="Times New Roman" w:hAnsi="Times New Roman"/>
          <w:b/>
          <w:sz w:val="20"/>
          <w:szCs w:val="20"/>
        </w:rPr>
        <w:t xml:space="preserve">486 000 </w:t>
      </w:r>
      <w:proofErr w:type="spellStart"/>
      <w:r w:rsidR="00C535EA" w:rsidRPr="00C535EA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="00C535EA" w:rsidRPr="00C535EA">
        <w:rPr>
          <w:rFonts w:ascii="Times New Roman" w:eastAsia="Times New Roman" w:hAnsi="Times New Roman"/>
          <w:b/>
          <w:sz w:val="20"/>
          <w:szCs w:val="20"/>
        </w:rPr>
        <w:t xml:space="preserve"> без ПДВ</w:t>
      </w:r>
      <w:r w:rsidR="00C535E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F6068">
        <w:rPr>
          <w:rFonts w:ascii="Times New Roman" w:eastAsia="Times New Roman" w:hAnsi="Times New Roman"/>
          <w:sz w:val="20"/>
          <w:szCs w:val="20"/>
        </w:rPr>
        <w:t xml:space="preserve">за кошти Європейського Союзу для України та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співфінансування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Сокальської  міської ради Львівської області згідно 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Проєкту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№  PLUА.01.02-IP.01-0041/23 «Захист прикордонної річки Буг шляхом розширення санітарної мережі в прикордонних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гмінах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Долгобичув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та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Сокаль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» в межах Програми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Interreg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NEXT Польща – Україна 2021-2027», який діє в Україні на підставі міжнародного договору -  Рамкової угоди між Урядом України та Комісією Європейських Співтовариств  від 12.12.2006, ратифікована із заявою Законом України від 03.09.2008 № 360-VI; Угоди про фінансування програми 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Interreg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(</w:t>
      </w:r>
      <w:proofErr w:type="spellStart"/>
      <w:r w:rsidRPr="003F6068">
        <w:rPr>
          <w:rFonts w:ascii="Times New Roman" w:eastAsia="Times New Roman" w:hAnsi="Times New Roman"/>
          <w:sz w:val="20"/>
          <w:szCs w:val="20"/>
        </w:rPr>
        <w:t>Interreg</w:t>
      </w:r>
      <w:proofErr w:type="spellEnd"/>
      <w:r w:rsidRPr="003F6068">
        <w:rPr>
          <w:rFonts w:ascii="Times New Roman" w:eastAsia="Times New Roman" w:hAnsi="Times New Roman"/>
          <w:sz w:val="20"/>
          <w:szCs w:val="20"/>
        </w:rPr>
        <w:t xml:space="preserve"> VI-A) NEXT Польща-Україна, ратифікованою Законом України № 3719- IХ від  09.05.2024р.</w:t>
      </w:r>
      <w:r w:rsidR="00C535EA">
        <w:rPr>
          <w:rFonts w:ascii="Times New Roman" w:eastAsia="Times New Roman" w:hAnsi="Times New Roman"/>
          <w:sz w:val="20"/>
          <w:szCs w:val="20"/>
        </w:rPr>
        <w:t xml:space="preserve"> КЕКВ 2240, КПКВ </w:t>
      </w:r>
      <w:r w:rsidR="00C535EA" w:rsidRPr="00C535EA">
        <w:rPr>
          <w:rFonts w:ascii="Times New Roman" w:eastAsia="Times New Roman" w:hAnsi="Times New Roman"/>
          <w:sz w:val="20"/>
          <w:szCs w:val="20"/>
        </w:rPr>
        <w:t>0117700</w:t>
      </w:r>
      <w:r w:rsidR="00C535EA">
        <w:rPr>
          <w:rFonts w:ascii="Times New Roman" w:eastAsia="Times New Roman" w:hAnsi="Times New Roman"/>
          <w:sz w:val="20"/>
          <w:szCs w:val="20"/>
        </w:rPr>
        <w:t>.</w:t>
      </w:r>
    </w:p>
    <w:p w:rsidR="007D0485" w:rsidRDefault="00CE6F96" w:rsidP="007D048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5. </w:t>
      </w:r>
      <w:r w:rsidR="00D009FE"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 w:rsidR="00D009FE">
        <w:rPr>
          <w:rFonts w:ascii="Times New Roman" w:eastAsia="Times New Roman" w:hAnsi="Times New Roman"/>
          <w:sz w:val="20"/>
          <w:szCs w:val="20"/>
        </w:rPr>
        <w:t xml:space="preserve"> : </w:t>
      </w:r>
      <w:r w:rsidR="00C535EA" w:rsidRPr="00C535EA">
        <w:rPr>
          <w:rFonts w:ascii="Times New Roman" w:eastAsia="Times New Roman" w:hAnsi="Times New Roman"/>
          <w:b/>
          <w:sz w:val="20"/>
          <w:szCs w:val="20"/>
        </w:rPr>
        <w:t xml:space="preserve">486 000 </w:t>
      </w:r>
      <w:proofErr w:type="spellStart"/>
      <w:r w:rsidR="00C535EA" w:rsidRPr="00C535EA">
        <w:rPr>
          <w:rFonts w:ascii="Times New Roman" w:eastAsia="Times New Roman" w:hAnsi="Times New Roman"/>
          <w:b/>
          <w:sz w:val="20"/>
          <w:szCs w:val="20"/>
        </w:rPr>
        <w:t>грн</w:t>
      </w:r>
      <w:proofErr w:type="spellEnd"/>
      <w:r w:rsidR="00C535EA" w:rsidRPr="00C535EA">
        <w:rPr>
          <w:rFonts w:ascii="Times New Roman" w:eastAsia="Times New Roman" w:hAnsi="Times New Roman"/>
          <w:b/>
          <w:sz w:val="20"/>
          <w:szCs w:val="20"/>
        </w:rPr>
        <w:t xml:space="preserve"> без ПДВ</w:t>
      </w:r>
    </w:p>
    <w:p w:rsidR="00D009FE" w:rsidRDefault="00D009FE" w:rsidP="007D048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Розрахунок очікуваної вартості  закупівлі  здійснювався з урахуванням 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 Замовник використовував, як загальнодоступну інформацію щодо ціни послуг, яка міститься у відкритих джерелах (у тому числі на сайтах виробників </w:t>
      </w: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прайс-листах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в електронній системі закупівель "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Prozorro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" та на аналогічних торгівельних електронних майданчиках, дані спеціалізованих інформаційно-аналітичних видань, офіційних статистичних видань, в тому числі іноземних, тощо), так і інформацію, отриману шляхом проведення ринкових консультацій. </w:t>
      </w:r>
      <w:r w:rsidR="00CE6F96" w:rsidRPr="00CE6F96">
        <w:rPr>
          <w:rFonts w:ascii="Times New Roman" w:eastAsia="Times New Roman" w:hAnsi="Times New Roman"/>
          <w:color w:val="000000" w:themeColor="text1"/>
          <w:sz w:val="20"/>
          <w:szCs w:val="20"/>
        </w:rPr>
        <w:t>Враховуючи, що раніше міською радою не здійснювалися закупівлі відповідних послуг та відсутнє регулювання державою цін на дані послуги, найприйнятнішим варіантом формування очікуваної вартості є відповідно до п.1 Розділу 3 Методики</w:t>
      </w:r>
      <w:r w:rsidR="00CE6F9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-</w:t>
      </w:r>
      <w:r w:rsidR="00CE6F96" w:rsidRPr="00CE6F9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аналіз ринку та порівняння ринкових цін.</w:t>
      </w:r>
      <w:r w:rsidR="00CE6F96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Замовником </w:t>
      </w:r>
      <w:r w:rsidR="00CE6F96" w:rsidRPr="00CE6F96">
        <w:rPr>
          <w:rFonts w:ascii="Times New Roman" w:eastAsia="Times New Roman" w:hAnsi="Times New Roman"/>
          <w:color w:val="000000" w:themeColor="text1"/>
          <w:sz w:val="20"/>
          <w:szCs w:val="20"/>
        </w:rPr>
        <w:t>було надіслано листи потенційним надавачам послуг із єдиними технічними вимогами, приведені до єдиних умов задля отримання комерційних пропозицій</w:t>
      </w:r>
      <w:r w:rsidR="00CE6F96">
        <w:rPr>
          <w:rFonts w:ascii="Times New Roman" w:eastAsia="Times New Roman" w:hAnsi="Times New Roman"/>
          <w:color w:val="000000" w:themeColor="text1"/>
          <w:sz w:val="20"/>
          <w:szCs w:val="20"/>
        </w:rPr>
        <w:t>, на підставі отриманої інформації було сформовано очікувану вартість закупівлі.</w:t>
      </w:r>
    </w:p>
    <w:p w:rsidR="00CE6F96" w:rsidRPr="00CE6F96" w:rsidRDefault="00CE6F96" w:rsidP="00CE6F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D009FE" w:rsidRDefault="00CE6F96" w:rsidP="00D009FE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6. </w:t>
      </w:r>
      <w:r w:rsidR="00D009FE">
        <w:rPr>
          <w:rFonts w:ascii="Times New Roman" w:eastAsia="Times New Roman" w:hAnsi="Times New Roman"/>
          <w:b/>
          <w:sz w:val="20"/>
          <w:szCs w:val="20"/>
          <w:u w:val="single"/>
        </w:rPr>
        <w:t>Обґрунтування технічних, якісних характеристик</w:t>
      </w:r>
      <w:bookmarkStart w:id="1" w:name="_heading=h.1fob9te"/>
      <w:bookmarkEnd w:id="1"/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2632"/>
        <w:gridCol w:w="7433"/>
      </w:tblGrid>
      <w:tr w:rsidR="00763BBB" w:rsidRPr="00C370BD" w:rsidTr="00C4146C">
        <w:trPr>
          <w:trHeight w:val="264"/>
        </w:trPr>
        <w:tc>
          <w:tcPr>
            <w:tcW w:w="10065" w:type="dxa"/>
            <w:gridSpan w:val="2"/>
            <w:shd w:val="clear" w:color="auto" w:fill="FFFFFF"/>
            <w:vAlign w:val="center"/>
          </w:tcPr>
          <w:p w:rsidR="00763BBB" w:rsidRPr="00763BBB" w:rsidRDefault="00763BBB" w:rsidP="00C4146C">
            <w:pPr>
              <w:keepLines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2" w:name="_GoBack"/>
            <w:bookmarkEnd w:id="2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Загальна характеристика предмета закупівлі</w:t>
            </w:r>
          </w:p>
        </w:tc>
      </w:tr>
      <w:tr w:rsidR="00763BBB" w:rsidRPr="00C370BD" w:rsidTr="00C4146C">
        <w:tc>
          <w:tcPr>
            <w:tcW w:w="2632" w:type="dxa"/>
          </w:tcPr>
          <w:p w:rsidR="00763BBB" w:rsidRPr="00763BBB" w:rsidRDefault="00763BBB" w:rsidP="00C4146C">
            <w:pPr>
              <w:keepLines/>
              <w:numPr>
                <w:ilvl w:val="1"/>
                <w:numId w:val="2"/>
              </w:numPr>
              <w:spacing w:after="0" w:line="240" w:lineRule="auto"/>
              <w:ind w:left="597" w:hanging="597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Тип / категорія</w:t>
            </w:r>
          </w:p>
        </w:tc>
        <w:tc>
          <w:tcPr>
            <w:tcW w:w="7433" w:type="dxa"/>
          </w:tcPr>
          <w:p w:rsidR="00763BBB" w:rsidRPr="00763BBB" w:rsidRDefault="00763BBB" w:rsidP="00C4146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Послуги</w:t>
            </w:r>
          </w:p>
        </w:tc>
      </w:tr>
      <w:tr w:rsidR="00763BBB" w:rsidRPr="00C370BD" w:rsidTr="00C4146C">
        <w:tc>
          <w:tcPr>
            <w:tcW w:w="2632" w:type="dxa"/>
          </w:tcPr>
          <w:p w:rsidR="00763BBB" w:rsidRPr="00763BBB" w:rsidRDefault="00763BBB" w:rsidP="00C4146C">
            <w:pPr>
              <w:keepLines/>
              <w:numPr>
                <w:ilvl w:val="1"/>
                <w:numId w:val="2"/>
              </w:numPr>
              <w:spacing w:after="0" w:line="240" w:lineRule="auto"/>
              <w:ind w:left="30" w:hanging="30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Найменування предмета закупівлі</w:t>
            </w:r>
          </w:p>
        </w:tc>
        <w:tc>
          <w:tcPr>
            <w:tcW w:w="7433" w:type="dxa"/>
          </w:tcPr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Послуги комунікаційного менеджера </w:t>
            </w:r>
            <w:proofErr w:type="spellStart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 № PLUA.01.02-IP.01-0041/23 «Захист прикордонної річки Буг шляхом розширення санітарної мережі в прикордонних </w:t>
            </w:r>
            <w:proofErr w:type="spellStart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гмінах</w:t>
            </w:r>
            <w:proofErr w:type="spellEnd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Долгобичув</w:t>
            </w:r>
            <w:proofErr w:type="spellEnd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Сокаль</w:t>
            </w:r>
            <w:proofErr w:type="spellEnd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» в межах Програми </w:t>
            </w:r>
            <w:proofErr w:type="spellStart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Interreg</w:t>
            </w:r>
            <w:proofErr w:type="spellEnd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NEXT «Польща – Україна 2021-2027», що </w:t>
            </w:r>
            <w:proofErr w:type="spellStart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співфінансується</w:t>
            </w:r>
            <w:proofErr w:type="spellEnd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Європейським Союзом через Міністерство фондів розвитку та регіональної політики Республіки Польща;  ДК 021:2015: 79340000-9: Рекламні та маркетингові послуги    </w:t>
            </w:r>
          </w:p>
        </w:tc>
      </w:tr>
      <w:tr w:rsidR="00763BBB" w:rsidRPr="00C370BD" w:rsidTr="00C4146C">
        <w:tc>
          <w:tcPr>
            <w:tcW w:w="2632" w:type="dxa"/>
          </w:tcPr>
          <w:p w:rsidR="00763BBB" w:rsidRPr="00763BBB" w:rsidRDefault="00763BBB" w:rsidP="00C4146C">
            <w:pPr>
              <w:keepLines/>
              <w:numPr>
                <w:ilvl w:val="1"/>
                <w:numId w:val="2"/>
              </w:numPr>
              <w:spacing w:after="0" w:line="240" w:lineRule="auto"/>
              <w:ind w:left="597" w:hanging="597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Строк надання послуг </w:t>
            </w:r>
          </w:p>
        </w:tc>
        <w:tc>
          <w:tcPr>
            <w:tcW w:w="7433" w:type="dxa"/>
          </w:tcPr>
          <w:p w:rsidR="00763BBB" w:rsidRPr="00763BBB" w:rsidRDefault="00763BBB" w:rsidP="00C4146C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з моменту підписання договору до 30.09.2026 року включно</w:t>
            </w:r>
          </w:p>
        </w:tc>
      </w:tr>
      <w:tr w:rsidR="00763BBB" w:rsidRPr="00C370BD" w:rsidTr="00C4146C">
        <w:trPr>
          <w:trHeight w:val="44"/>
        </w:trPr>
        <w:tc>
          <w:tcPr>
            <w:tcW w:w="10065" w:type="dxa"/>
            <w:gridSpan w:val="2"/>
            <w:shd w:val="clear" w:color="auto" w:fill="FFFFFF"/>
            <w:vAlign w:val="center"/>
          </w:tcPr>
          <w:p w:rsidR="00763BBB" w:rsidRPr="00763BBB" w:rsidRDefault="00763BBB" w:rsidP="00C4146C">
            <w:pPr>
              <w:keepNext/>
              <w:keepLines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Технічна специфікація предмета закупівлі</w:t>
            </w:r>
          </w:p>
        </w:tc>
      </w:tr>
      <w:tr w:rsidR="00763BBB" w:rsidRPr="00C370BD" w:rsidTr="00C4146C">
        <w:trPr>
          <w:trHeight w:val="414"/>
        </w:trPr>
        <w:tc>
          <w:tcPr>
            <w:tcW w:w="2632" w:type="dxa"/>
          </w:tcPr>
          <w:p w:rsidR="00763BBB" w:rsidRPr="00763BBB" w:rsidRDefault="00763BBB" w:rsidP="00C4146C">
            <w:pPr>
              <w:numPr>
                <w:ilvl w:val="1"/>
                <w:numId w:val="2"/>
              </w:numPr>
              <w:spacing w:after="0" w:line="240" w:lineRule="auto"/>
              <w:ind w:left="30" w:hanging="30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Найменування, технічні та  кількісні характеристики послуг (основні завдання) </w:t>
            </w:r>
          </w:p>
        </w:tc>
        <w:tc>
          <w:tcPr>
            <w:tcW w:w="7433" w:type="dxa"/>
          </w:tcPr>
          <w:p w:rsidR="00763BBB" w:rsidRPr="00763BBB" w:rsidRDefault="00763BBB" w:rsidP="00C4146C">
            <w:pPr>
              <w:spacing w:after="0" w:line="240" w:lineRule="auto"/>
              <w:ind w:left="3" w:right="115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bookmarkStart w:id="3" w:name="_Hlk124770593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Послуги комунікаційного менеджера </w:t>
            </w:r>
            <w:proofErr w:type="spellStart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 № PLUA.01.02-IP.01-0041/23 «Захист прикордонної річки Буг шляхом розширення санітарної мережі в прикордонних </w:t>
            </w:r>
            <w:proofErr w:type="spellStart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гмінах</w:t>
            </w:r>
            <w:proofErr w:type="spellEnd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Долгобичув</w:t>
            </w:r>
            <w:proofErr w:type="spellEnd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та </w:t>
            </w:r>
            <w:proofErr w:type="spellStart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Сокаль</w:t>
            </w:r>
            <w:proofErr w:type="spellEnd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» в межах Програми </w:t>
            </w:r>
            <w:proofErr w:type="spellStart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Interreg</w:t>
            </w:r>
            <w:proofErr w:type="spellEnd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NEXT «Польща – Україна 2021-2027», що </w:t>
            </w:r>
            <w:proofErr w:type="spellStart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>співфінансується</w:t>
            </w:r>
            <w:proofErr w:type="spellEnd"/>
            <w:r w:rsidRPr="00763B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Європейським Союзом через Міністерство фондів розвитку та регіональної політики Республіки Польща;  ДК 021:2015: 79340000-9: Рекламні та маркетингові послуги    </w:t>
            </w:r>
          </w:p>
          <w:p w:rsidR="00763BBB" w:rsidRPr="00763BBB" w:rsidRDefault="00763BBB" w:rsidP="00C4146C">
            <w:pPr>
              <w:spacing w:after="0" w:line="240" w:lineRule="auto"/>
              <w:ind w:left="3"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Заходи в </w:t>
            </w:r>
            <w:proofErr w:type="spellStart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проєкті</w:t>
            </w:r>
            <w:proofErr w:type="spellEnd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/робочі пакети: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63BB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 xml:space="preserve">РОБОЧИЙ ПАКЕТ 1 - Будівництво санітарної каналізаційної мережі у </w:t>
            </w:r>
            <w:proofErr w:type="spellStart"/>
            <w:r w:rsidRPr="00763BB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гміна</w:t>
            </w:r>
            <w:proofErr w:type="spellEnd"/>
            <w:r w:rsidRPr="00763BB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63BB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Долгобичув</w:t>
            </w:r>
            <w:proofErr w:type="spellEnd"/>
            <w:r w:rsidRPr="00763BB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 xml:space="preserve"> (Республіка Польща) по вулицях: </w:t>
            </w:r>
            <w:proofErr w:type="spellStart"/>
            <w:r w:rsidRPr="00763BB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Słoneczna</w:t>
            </w:r>
            <w:proofErr w:type="spellEnd"/>
            <w:r w:rsidRPr="00763BB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763BB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Błotna</w:t>
            </w:r>
            <w:proofErr w:type="spellEnd"/>
            <w:r w:rsidRPr="00763BB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763BB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Dolna</w:t>
            </w:r>
            <w:proofErr w:type="spellEnd"/>
            <w:r w:rsidRPr="00763BB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763BB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Górna</w:t>
            </w:r>
            <w:proofErr w:type="spellEnd"/>
            <w:r w:rsidRPr="00763BB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763BB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Polna</w:t>
            </w:r>
            <w:proofErr w:type="spellEnd"/>
            <w:r w:rsidRPr="00763BB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763BBB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Hallera</w:t>
            </w:r>
            <w:proofErr w:type="spellEnd"/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Завдання 1 буде реалізоване польським партнером </w:t>
            </w:r>
            <w:proofErr w:type="spellStart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 і спрямоване на усунення або зменшення таких ключових обмежень, ідентифікованих у процесі аналізу місцевої адміністративної одиниці (перелічено лише найважливіші):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Нерівномірне та неповне охоплення санітарною інфраструктурою на території </w:t>
            </w:r>
            <w:proofErr w:type="spellStart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гміни</w:t>
            </w:r>
            <w:proofErr w:type="spellEnd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Долгобичув</w:t>
            </w:r>
            <w:proofErr w:type="spellEnd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 (обмежений доступ жителів до системи санітарної каналізації).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Низька якість комунальних послуг у </w:t>
            </w:r>
            <w:proofErr w:type="spellStart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Долгобичув</w:t>
            </w:r>
            <w:proofErr w:type="spellEnd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, що ґрунтується на традиційних методах вивезення стічних вод із використанням асенізаційних машин для транспортування рідких відходів на очисні споруди.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Низький рівень охорони навколишнього середовища в цьому регіоні.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Таким чином, метою даного завдання є збільшення доступу мешканців </w:t>
            </w:r>
            <w:proofErr w:type="spellStart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гміни</w:t>
            </w:r>
            <w:proofErr w:type="spellEnd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Долгобичув</w:t>
            </w:r>
            <w:proofErr w:type="spellEnd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 до централізованої системи відведення стічних вод, що сприятиме зменшенню рівня забруднення ґрунту, підземних і поверхневих вод у цьому регіоні.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Очікувані результати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Унаслідок реалізації інвестиційних заходів буде впорядковано систему управління стічними водами в межах </w:t>
            </w:r>
            <w:proofErr w:type="spellStart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проєктної</w:t>
            </w:r>
            <w:proofErr w:type="spellEnd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 території. Це відбудеться завдяки: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Ліквідації застарілих, технічно несправних і схильних до протікань вигрібних ям.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Підключенню раніше не охоплених централізованою каналізацією об'єктів до новозбудованої санітарної каналізаційної мережі.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Це дозволить зменшити неконтрольовані скиди рідких відходів та запобігти їхньому проникненню у ґрунт, підземні води та глибші шари ґрунту.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Цілі будуть досягнуті через реалізацію інфраструктурного завдання, що включає будівництво каналізаційної мережі та підключення до неї мешканців </w:t>
            </w:r>
            <w:proofErr w:type="spellStart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гміни</w:t>
            </w:r>
            <w:proofErr w:type="spellEnd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Долгобичув</w:t>
            </w:r>
            <w:proofErr w:type="spellEnd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Основні технічні параметри </w:t>
            </w:r>
            <w:proofErr w:type="spellStart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проєкту</w:t>
            </w:r>
            <w:proofErr w:type="spellEnd"/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Загальна довжина запланованої інфраструктури складе 4 970 метрів, з яких: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3 002 метри – самопливна каналізаційна мережа.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1 953 метри – 59 підключень до будинків.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Детальний обсяг робіт у межах Завдання 1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Розробка технічної документації, яка включає: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Підготовку концепції будівництва санітарної каналізаційної мережі.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Розробку будівельного </w:t>
            </w:r>
            <w:proofErr w:type="spellStart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 з усіма необхідними погодженнями.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Отримання картографічних матеріалів для </w:t>
            </w:r>
            <w:proofErr w:type="spellStart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проєктних</w:t>
            </w:r>
            <w:proofErr w:type="spellEnd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 потреб.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Отримання дозволів, узгоджень та дозволу на будівництво.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Підготовку детальних креслень.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Геодезичний супровід.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Будівництво санітарної каналізаційної мережі, включаючи: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Прокладання трубопроводів.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Виконання спрямованого буріння.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Встановлення насосної станції та підключення її до електромережі.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Інвесторський</w:t>
            </w:r>
            <w:proofErr w:type="spellEnd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 нагляд і прийняття інвестиційних робіт (поетапне та фінальне приймання).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Методи будівництва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Система каналізації буде збудована із використанням як траншейних, так і безтраншейних технологій, з урахуванням економічних, екологічних і соціальних аспектів, а також вимог власників земельних ділянок.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Очікувані результати та вплив </w:t>
            </w:r>
            <w:proofErr w:type="spellStart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проєкту</w:t>
            </w:r>
            <w:proofErr w:type="spellEnd"/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 xml:space="preserve">Реалізація завдання матиме значний вплив на досягнення загальних цілей </w:t>
            </w:r>
            <w:proofErr w:type="spellStart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, зокрема: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Будівництво нової гравітаційної санітарної каналізаційної мережі загальною довжиною 4 970 метрів, включаючи підключення до житлових будинків довжиною 1 953 метри.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Збільшення кількості підключеного населення до централізованої системи очищення стічних вод (принаймні вторинної очистки) – 244 особи.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Збільшення довжини нових або модернізованих каналізаційних труб для громадської мережі збору стічних вод – 4,970 км.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sz w:val="20"/>
                <w:szCs w:val="20"/>
              </w:rPr>
              <w:t>Ця інвестиція сприятиме підвищенню якості життя мешканців, покращенню екологічної ситуації та зміцненню сталого розвитку регіону.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РОБОЧИЙ ПАКЕТ 2 - Реконструкція напірного трубопроводу від КНС-2 до очисних споруд у місті </w:t>
            </w:r>
            <w:proofErr w:type="spellStart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Сокаль</w:t>
            </w:r>
            <w:proofErr w:type="spellEnd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(Сокальська міська рада, Україна)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Дане завдання має інфраструктурний характер. За своїм матеріальним обсягом воно стосується інвестиційних заходів, спрямованих на реконструкцію колективної системи водовідведення (аналогічно до каналізаційної інфраструктури на польській стороні). Однак у цьому випадку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проєктні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заходи реалізовуватимуться на території України.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Безпосередня територія втручання, з адміністративної точки зору, розташована у північній частині міста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Будівельний майданчик розміщений приблизно за 1 км на північ від міста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у Львівській області. 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Завданням є усунення або зменшення наступних основних проблем, ідентифікованих місцевими органами самоврядування: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Зношена каналізаційна мережа, схильна до аварій, що супроводжується високими витратами на обслуговування та значною кількістю пошкоджених і негерметичних труб, що спричиняють витікання стічних вод у ґрунт (м.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Низький рівень екологічного захисту в цих районах.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Ціль аналізованого завдання – забезпечити доступ жителів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Сокаля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до централізованої системи водовідведення (безпосередня територія втручання на українській стороні) та, як наслідок, зменшити рівень забруднення ґрунтів, підземних і поверхневих вод у цих районах.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Ці пріоритети будуть досягнуті шляхом реалізації інфраструктурного завдання з реконструкції напірного трубопроводу від КНС-2 до очисних споруд.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Детальний обсяг заходів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2.1 Реконструкція напірного трубопроводу від КНС-2 до очисних споруд у місті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 рамках завдання передбачено заміну існуючого напірного трубопроводу (одинарна нитка) вздовж існуючого маршруту та будівництво перемикальних камер №1 і №2.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Загальна довжина: 3,384 км.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Передбачені технічні рішення: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Напірна каналізаційна мережа буде збудована з використанням поліетиленових напірних труб PE 100 SDR-17, Ø400x23,6 мм.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 мережі передбачені вхідні сифони у підвищених профільних точках, а також гравітаційні колодязі у нижніх зонах.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Додаткові заходи, що включені до завдання: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підготовка будівельного майданчика,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благоустрій та озеленення території,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виконання будівельних робіт у зимовий період,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засоби для забезпечення обслуговування замовника,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кошти на технічний нагляд,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кошти на створення фонду страхування документації,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витрати на експертизу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проєктної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документації,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кошти на покриття адміністративних витрат будівельних компаній (АВ),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кошти на покриття ризиків усіх учасників будівництва.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Очікувані результати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Реконструйована каналізаційна мережа у місті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загальною довжиною 3,384 км.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Значний вплив реалізації цього завдання на загальні цілі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визначається тим, що воно безпосередньо сприятиме досягненню основних індикаторів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у наступних напрямках: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Довжина нових або модернізованих трубопроводів у системі централізованого водовідведення (RCO31): 3,384 км.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Кількість населення, підключеного до щонайменше вторинної очистки стічних вод (RCR42): 23 051 особа.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РОБОЧИЙ ПАКЕТ 3 - Реалізація </w:t>
            </w:r>
            <w:proofErr w:type="spellStart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інформаційно-промоційних</w:t>
            </w:r>
            <w:proofErr w:type="spellEnd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заходів відповідно до комунікаційного плану </w:t>
            </w:r>
            <w:proofErr w:type="spellStart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Проєкту</w:t>
            </w:r>
            <w:proofErr w:type="spellEnd"/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(</w:t>
            </w:r>
            <w:proofErr w:type="spellStart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Гміна</w:t>
            </w:r>
            <w:proofErr w:type="spellEnd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Долгобичув</w:t>
            </w:r>
            <w:proofErr w:type="spellEnd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– Польща, Сокальська міська рада – Україна)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Завдання 3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має так званий «м'який» характер. Воно спрямоване на проведення комунікаційних та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інформаційно-промоційних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заходів, які є обов’язковими в межах Програми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2021-2027». 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Ці заходи безпосередньо випливають із Комунікаційного плану, розробленого для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Безпосередньою метою дій, визначених у Комунікаційному плані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(які також є невід'ємною частиною Завдання 3), є поширення інформації про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серед цільових груп та кінцевих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бенефіціарів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Це включає інформування про реалізацію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його цілі, масштаби та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співфінансування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 фондів ЄС у межах Програми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Детальний перелік заходів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Організація та проведення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інформаційно-промоційної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зустрічі з нагоди запуску реалізації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Гміні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Долгобичув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(запланована кількість учасників – 30 осіб).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Організація та проведення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інформаційно-промоційної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зустрічі з нагоди запуску реалізації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місті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(запланована кількість учасників – 30 осіб).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Проведення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інформаційно-промоційної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підсумкової зустрічі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Гміні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Долгобичув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(запланована кількість учасників – 45 осіб).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Проведення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інформаційно-промоційної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підсумкової зустрічі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місті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(запланована кількість учасників – 40 осіб).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Додаткові заходи в межах реалізації Комунікаційного плану: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Встановлення стаціонарних інформаційних табличок із логотипами Програми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 у видимих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локаціях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Проведення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промоційної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кампанії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місцевих та регіональних медіа (запланована кількість публікацій, пов’язаних із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проєктом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– 2 статті у Польщі, 2 статті в Україні).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Публікація та регулярне оновлення інформації про цілі, масштаб і заходи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(на офіційних веб-сайтах партнерів та/або сторінках у соціальних мережах).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Закупівля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промоційних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рол-апів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для використання під час офіційних заходів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Розробка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промоційних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матеріалів (сувенірна продукція та брошури для мешканців і відвідувачів громад) з метою популяризації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Приклади наборів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промоційних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матеріалів: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Екологічні сумки / багаторазові екологічні сумки (наприклад, з полотна або перероблених матеріалів).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Флеш-накопичувач із екологічних матеріалів.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Багаторазова/вий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термочашка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/ дорожній кухоль.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Екологічний блокнот із ручкою.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Багаторазова пляшка для води / фільтр-пляшка.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Заявник також планує випустити приблизно 400 примірників інформаційної брошури про транскордонну співпрацю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Гміни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Долгобичув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і міста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реалізований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Формат: A5, приблизна кількість сторінок: 32.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Матеріали будуть використовуватися для просування самого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Промоційні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матеріали також спрямовані на популяризацію (серед учасників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інших осіб) польсько-українського партнерства, встановленого між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Гміною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Долгобичув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і містом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для реалізації цього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як прикладу так званих «найкращих практик».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Промоційні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матеріали також планується використовувати як призи у міні конкурсах, запланованих у межах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 Вони будуть адресовані переважно місцевій громаді та тематично сфокусовані на таких питаннях:</w:t>
            </w:r>
          </w:p>
          <w:p w:rsidR="00763BBB" w:rsidRPr="00763BBB" w:rsidRDefault="00763BBB" w:rsidP="00C4146C">
            <w:pPr>
              <w:numPr>
                <w:ilvl w:val="0"/>
                <w:numId w:val="4"/>
              </w:numPr>
              <w:spacing w:after="0" w:line="240" w:lineRule="auto"/>
              <w:ind w:right="11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знання сфер та питань, які підтримує Програма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2021-2027»;</w:t>
            </w:r>
          </w:p>
          <w:p w:rsidR="00763BBB" w:rsidRPr="00763BBB" w:rsidRDefault="00763BBB" w:rsidP="00C4146C">
            <w:pPr>
              <w:numPr>
                <w:ilvl w:val="0"/>
                <w:numId w:val="4"/>
              </w:numPr>
              <w:spacing w:after="0" w:line="240" w:lineRule="auto"/>
              <w:ind w:right="11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охорона якості природного середовища;</w:t>
            </w:r>
          </w:p>
          <w:p w:rsidR="00763BBB" w:rsidRPr="00763BBB" w:rsidRDefault="00763BBB" w:rsidP="00C4146C">
            <w:pPr>
              <w:numPr>
                <w:ilvl w:val="0"/>
                <w:numId w:val="4"/>
              </w:numPr>
              <w:spacing w:after="0" w:line="240" w:lineRule="auto"/>
              <w:ind w:right="115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екологія, зменшення рівня забруднення та раціональне використання водних ресурсів тощо.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РОБОЧИЙ ПАКЕТ 4 - Проведення двосторонніх ознайомчих візитів та тематичних семінарів із партнерами </w:t>
            </w:r>
            <w:proofErr w:type="spellStart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проєкту</w:t>
            </w:r>
            <w:proofErr w:type="spellEnd"/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(</w:t>
            </w:r>
            <w:proofErr w:type="spellStart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Гміна</w:t>
            </w:r>
            <w:proofErr w:type="spellEnd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Долгобичув</w:t>
            </w:r>
            <w:proofErr w:type="spellEnd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– Польща, Сокальська міська рада – Україна)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Завдання 4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має так званий «м’який» характер. Воно спрямоване на здійснення комунікаційних та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інформаційно-промоційних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заходів, які є обов’язковими в рамках Програми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 межах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передбачено проведення ознайомчих візитів та тематичних семінарів – заходів, у яких візьмуть участь представники польського та українського партнерів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Детальний перелік заходів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Проведення транскордонного заходу – ознайомчого візиту до Польщі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Запланована кількість учасників: 10 осіб (5 представників від польського партнера та 5 представників від українського партнера).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Проведення транскордонного заходу – ознайомчого візиту до України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Запланована кількість учасників: 10 осіб (5 представників від польського партнера та 5 представників від українського партнера).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Мета ознайомчих візитів: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Взаємний обмін інформацією та досвідом щодо реалізації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на операційному, технічному та фінансовому рівнях.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Посилення транскордонної співпраці між партнерами у соціальній, культурній, економічній сферах, а також у сфері розвитку туризму.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Ознайомлення працівників, залучених до реалізації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 польського та українського боку, із практичними аспектами впровадження подібних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проєктів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обмін досвідом та найкращими практиками.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Проведення тематичного семінару в Польщі для працівників партнера, відповідальних за управління водопостачанням та водовідведенням. Запланована кількість учасників: 10 осіб.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Проведення тематичного семінару в Україні для працівників головного партнера, відповідальних за управління водопостачанням та водовідведенням. Запланована </w:t>
            </w: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кількість учасників: 10 осіб.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Мета тематичних семінарів: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Обмін знаннями та передовими практиками щодо ефективних рішень в організації управління водопостачанням і водовідведенням у місцевих органах самоврядування, які беруть участь у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проєкті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Обмін досвідом у сфері впровадження ефективних заходів та перевірених інструментів, пов’язаних із охороною навколишнього середовища, збереженням ґрунтів, підземних та поверхневих вод.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Формат та очікувані результати заходів: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Тематичні семінари сприятимуть розвитку практичних навичок і знань серед працівників, відповідальних за управління водопостачанням і водовідведенням, через інтенсивні та структуровані тренінгові сесії.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Ознайомчі візити передбачають участь працівників, залучених до реалізації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а тематичні семінари будуть орієнтовані на вузькопрофільних спеціалістів у сфері водопостачання та водовідведення з польського та українського боку.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Важливо, що активна участь представників обох партнерів у підготовці та реалізації заходів є ключовою умовою їхньої ефективності та успішності.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РОБОЧИЙ ПАКЕТ 5 - Переклади документації (</w:t>
            </w:r>
            <w:proofErr w:type="spellStart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Гміна</w:t>
            </w:r>
            <w:proofErr w:type="spellEnd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Долгобичув</w:t>
            </w:r>
            <w:proofErr w:type="spellEnd"/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– Польща, Сокальська міська рада – Україна)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Переклад документації є необхідним для забезпечення ефективної комунікації, розуміння, відповідності законодавчим вимогам, соціальної участі та прозорості в межах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Це ключовий аспект управління транскордонним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проєктом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який сприяє його успішній реалізації та досягненню запланованих цілей. Переклад документації забезпечить узгодженість і якість інформації у різних мовних версіях. Перекладені документи будуть опрацьовуватися професійними перекладачами, які володіють галузевою термінологією, що дозволить мінімізувати ризик неоднозначностей і помилок в інтерпретації.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Комунікаційний менеджер</w:t>
            </w: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№ PLUA.01.02-IP.01-0041/23 «Захист прикордонної річки Буг шляхом розширення санітарної мережі в прикордонних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гмінах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Долгобичув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Сокаль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» в межах Програми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2021-2027», що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співфінансується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Європейським Союзом через Міністерство фондів розвитку та регіональної політики Республіки Польща є відповідальним </w:t>
            </w:r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за виконання наступних завдань: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впровадження та підтримка комунікаційної стратегії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відповідно до Грантового контракту № PLUA.01.02-IP.01-0041/23-00 від 16.09.2024 та Партнерської угоди від 07.10.2024р.;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забезпечення інформаційної підтримки заходів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(робочих пакетів) через розробку та поширення інформаційних матеріалів (статей, прес-релізів, постів у соціальних мережах,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фото-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відео-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матеріалів тощо); 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координація всіх комунікаційних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активностей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у відповідності до загальної концепції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згідно Грантового контракту № PLUA.01.02-IP.01-0041/23-00 від 16.09.2024 та Партнерської угоди від 07.10.2024р.;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взаємодія з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підписниками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соцмереж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відповідь на коментарі та повідомлення, моніторинг негативних публікацій та оперативне реагування на кризові ситуації з питань комунікації та просування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налагодження внутрішньої комунікації між персоналом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робочими групами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Головним Партнером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за потреби з іншими інституціями та зацікавленими сторонами; 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встановлення контактів з іншими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проєктами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організаціями, медіа та іншими зацікавленими інституціями для обміну досвідом та синергії у висвітленні та просуванні заходів (робочих пакетів)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згідно вимог Програми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2021-2027»;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формування бази фото, відео, публікацій та інших матеріалів для звітності та історії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згідно вимог Програми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2021-2027»; 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координація комунікації із запрошеними експертами та спікерами в межах реалізації заходів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згідно вимог Програми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</w:t>
            </w: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Україна 2021-2027»;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створення, супровід та оновлення офіційних комунікаційних каналів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включаючи веб-сайти, сторінки в соціальних мережах та інші платформи, забезпечення актуальності інформації та узгодження публікацій із Партнером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відповідно до вимог Програми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2021-2027»;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підготовка та формування інформаційних матеріалів, написання супровідних текстів, презентацій, підбір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фото-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відео-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контенту для проведення заходів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контроль за розробкою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промоційних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та візуальних матеріалів (плакати, буклети,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промоційні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матеріали тощо) для висвітлення результатів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відповідно до Грантового контракту № PLUA.01.02-IP.01-0041/23-00 від 16.09.2024 та Партнерської угоди від 07.10.2024р. та вимог Програми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2021-2027»;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забезпечення дотримання вимог та правил Програми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 щодо висвітлення фінансової підтримки донора у публічних матеріалах (використання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лого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дисклеймерів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тощо);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моніторинг інформаційного впливу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аналіз ефективності комунікаційних заходів і корекція комунікаційної стратегії за потреби;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взаємодія зі ЗМІ для забезпечення якісного та прозорого висвітлення заходів і результатів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включаючи підготовку та розсилку прес-релізів; 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безпосередня участь у робочих зустрічах, нарадах та інших заходах, пов’язаних із реалізацією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:rsidR="00763BBB" w:rsidRPr="00763BBB" w:rsidRDefault="00763BBB" w:rsidP="00C4146C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 інші завдання за потреби, пов’язані з комунікаційною підтримкою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проєкту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відповідно до Грантового контракту № PLUA.01.02-IP.01-0041/23-00 від 16.09.2024 та Партнерської угоди від 07.10.2024р. та вимог Програми </w:t>
            </w:r>
            <w:proofErr w:type="spellStart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76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NEXT «Польща – Україна 2021-2027».  </w:t>
            </w:r>
            <w:bookmarkEnd w:id="3"/>
          </w:p>
        </w:tc>
      </w:tr>
      <w:tr w:rsidR="00763BBB" w:rsidRPr="00C370BD" w:rsidTr="00C4146C">
        <w:trPr>
          <w:trHeight w:val="414"/>
        </w:trPr>
        <w:tc>
          <w:tcPr>
            <w:tcW w:w="2632" w:type="dxa"/>
          </w:tcPr>
          <w:p w:rsidR="00763BBB" w:rsidRPr="00763BBB" w:rsidRDefault="00763BBB" w:rsidP="00C4146C">
            <w:pPr>
              <w:numPr>
                <w:ilvl w:val="1"/>
                <w:numId w:val="2"/>
              </w:numPr>
              <w:spacing w:after="0" w:line="240" w:lineRule="auto"/>
              <w:ind w:left="30" w:hanging="30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4" w:name="_Ref483565090"/>
            <w:r w:rsidRPr="00763BB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Якісні характеристики</w:t>
            </w:r>
            <w:bookmarkEnd w:id="4"/>
          </w:p>
        </w:tc>
        <w:tc>
          <w:tcPr>
            <w:tcW w:w="7433" w:type="dxa"/>
          </w:tcPr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0"/>
                <w:szCs w:val="20"/>
              </w:rPr>
              <w:t xml:space="preserve">Якість Послуг, які надаються Виконавцем, повинна відповідати максимально високим професійним стандартам для забезпечення всебічного і повного захисту та представництва прав та інтересів Замовника. </w:t>
            </w:r>
          </w:p>
          <w:p w:rsidR="00763BBB" w:rsidRPr="00763BBB" w:rsidRDefault="00763BBB" w:rsidP="00C41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/>
                <w:color w:val="000000" w:themeColor="text1"/>
                <w:kern w:val="2"/>
                <w:sz w:val="20"/>
                <w:szCs w:val="20"/>
              </w:rPr>
              <w:t>Якісне надання послуг передбачає (зокрема, але не виключно):</w:t>
            </w:r>
          </w:p>
          <w:p w:rsidR="00763BBB" w:rsidRPr="00763BBB" w:rsidRDefault="00763BBB" w:rsidP="00763BBB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 xml:space="preserve">повне та своєчасне виконання завдань Замовника щодо питань комунікаційного управління </w:t>
            </w:r>
            <w:proofErr w:type="spellStart"/>
            <w:r w:rsidRPr="00763BB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>проєктом</w:t>
            </w:r>
            <w:proofErr w:type="spellEnd"/>
            <w:r w:rsidRPr="00763BB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 xml:space="preserve"> відповідно до Грантового контракту № PLUA.01.02-IP.01-0041/23-00 від 16.09.2024 та Партнерської угоди від 07.10.2024р.;</w:t>
            </w:r>
          </w:p>
          <w:p w:rsidR="00763BBB" w:rsidRPr="00763BBB" w:rsidRDefault="00763BBB" w:rsidP="00763BBB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 xml:space="preserve">ефективне управління комунікаційними ресурсами та інформаційними потоками у відповідності до затвердженої комунікаційної стратегії, вимог Програми </w:t>
            </w:r>
            <w:proofErr w:type="spellStart"/>
            <w:r w:rsidRPr="00763BB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>Interreg</w:t>
            </w:r>
            <w:proofErr w:type="spellEnd"/>
            <w:r w:rsidRPr="00763BB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 xml:space="preserve"> NEXT «Польща – Україна 2021-2027» та стандартів європейських комунікацій;</w:t>
            </w:r>
          </w:p>
          <w:p w:rsidR="00763BBB" w:rsidRPr="00763BBB" w:rsidRDefault="00763BBB" w:rsidP="00763BBB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>врахування екологічних та соціальних стандартів у комунікаційній діяльності, забезпечення сталості інформаційної політики, використання екологічно відповідальних підходів у друкованих матеріалах та медійному висвітленні;</w:t>
            </w:r>
          </w:p>
          <w:p w:rsidR="00763BBB" w:rsidRPr="00763BBB" w:rsidRDefault="00763BBB" w:rsidP="00763BBB">
            <w:pPr>
              <w:pStyle w:val="a9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763BB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 xml:space="preserve">дотримання принципів </w:t>
            </w:r>
            <w:proofErr w:type="spellStart"/>
            <w:r w:rsidRPr="00763BB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>інклюзивності</w:t>
            </w:r>
            <w:proofErr w:type="spellEnd"/>
            <w:r w:rsidRPr="00763BBB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0"/>
                <w:szCs w:val="20"/>
              </w:rPr>
              <w:t xml:space="preserve"> та доступності у комунікаціях, адаптація інформаційних матеріалів для різних соціальних груп, врахування гендерно-чутливих підходів у публічних комунікаціях. </w:t>
            </w:r>
          </w:p>
        </w:tc>
      </w:tr>
    </w:tbl>
    <w:p w:rsidR="00CE6F96" w:rsidRPr="00CE6F96" w:rsidRDefault="00CE6F96" w:rsidP="00CE6F96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CE6F96" w:rsidRPr="00CE6F9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64" w:rsidRDefault="00882F64" w:rsidP="00AF4CCC">
      <w:pPr>
        <w:spacing w:after="0" w:line="240" w:lineRule="auto"/>
      </w:pPr>
      <w:r>
        <w:separator/>
      </w:r>
    </w:p>
  </w:endnote>
  <w:endnote w:type="continuationSeparator" w:id="0">
    <w:p w:rsidR="00882F64" w:rsidRDefault="00882F64" w:rsidP="00AF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616806"/>
      <w:docPartObj>
        <w:docPartGallery w:val="Page Numbers (Bottom of Page)"/>
        <w:docPartUnique/>
      </w:docPartObj>
    </w:sdtPr>
    <w:sdtEndPr/>
    <w:sdtContent>
      <w:p w:rsidR="00EE3538" w:rsidRDefault="00EE35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BBB">
          <w:rPr>
            <w:noProof/>
          </w:rPr>
          <w:t>7</w:t>
        </w:r>
        <w:r>
          <w:fldChar w:fldCharType="end"/>
        </w:r>
      </w:p>
    </w:sdtContent>
  </w:sdt>
  <w:p w:rsidR="00EE3538" w:rsidRDefault="00EE35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64" w:rsidRDefault="00882F64" w:rsidP="00AF4CCC">
      <w:pPr>
        <w:spacing w:after="0" w:line="240" w:lineRule="auto"/>
      </w:pPr>
      <w:r>
        <w:separator/>
      </w:r>
    </w:p>
  </w:footnote>
  <w:footnote w:type="continuationSeparator" w:id="0">
    <w:p w:rsidR="00882F64" w:rsidRDefault="00882F64" w:rsidP="00AF4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CC" w:rsidRDefault="00AF4CCC">
    <w:pPr>
      <w:pStyle w:val="a3"/>
    </w:pPr>
    <w:r w:rsidRPr="0070136A">
      <w:rPr>
        <w:noProof/>
      </w:rPr>
      <w:drawing>
        <wp:inline distT="0" distB="0" distL="0" distR="0" wp14:anchorId="78070758" wp14:editId="40B1A538">
          <wp:extent cx="3672000" cy="644400"/>
          <wp:effectExtent l="0" t="0" r="508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2000" cy="64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82D"/>
    <w:multiLevelType w:val="hybridMultilevel"/>
    <w:tmpl w:val="54ACDE3E"/>
    <w:lvl w:ilvl="0" w:tplc="B4662F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3CC3"/>
    <w:multiLevelType w:val="multilevel"/>
    <w:tmpl w:val="6B285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  <w:i w:val="0"/>
        <w:iCs/>
        <w:color w:val="000000"/>
      </w:rPr>
    </w:lvl>
    <w:lvl w:ilvl="3">
      <w:start w:val="1"/>
      <w:numFmt w:val="lowerLetter"/>
      <w:lvlText w:val="%4)"/>
      <w:lvlJc w:val="left"/>
      <w:rPr>
        <w:rFonts w:ascii="Times New Roman" w:eastAsia="Calibri" w:hAnsi="Times New Roman"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301723"/>
    <w:multiLevelType w:val="hybridMultilevel"/>
    <w:tmpl w:val="83C80972"/>
    <w:lvl w:ilvl="0" w:tplc="EC80AE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67426"/>
    <w:multiLevelType w:val="hybridMultilevel"/>
    <w:tmpl w:val="643CBDC8"/>
    <w:lvl w:ilvl="0" w:tplc="88FA5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B0FC9"/>
    <w:multiLevelType w:val="hybridMultilevel"/>
    <w:tmpl w:val="ECC004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56"/>
    <w:rsid w:val="001801A0"/>
    <w:rsid w:val="001D7071"/>
    <w:rsid w:val="001E740A"/>
    <w:rsid w:val="00292866"/>
    <w:rsid w:val="002D33BE"/>
    <w:rsid w:val="0033689A"/>
    <w:rsid w:val="0039399D"/>
    <w:rsid w:val="003E5AD6"/>
    <w:rsid w:val="003F6068"/>
    <w:rsid w:val="005A2EB2"/>
    <w:rsid w:val="00763BBB"/>
    <w:rsid w:val="007D0485"/>
    <w:rsid w:val="00882F64"/>
    <w:rsid w:val="008B2E34"/>
    <w:rsid w:val="00925BFD"/>
    <w:rsid w:val="00940923"/>
    <w:rsid w:val="00975C85"/>
    <w:rsid w:val="00AF4CCC"/>
    <w:rsid w:val="00B00256"/>
    <w:rsid w:val="00C535EA"/>
    <w:rsid w:val="00CE078A"/>
    <w:rsid w:val="00CE6F96"/>
    <w:rsid w:val="00D009FE"/>
    <w:rsid w:val="00DA0924"/>
    <w:rsid w:val="00E90EE0"/>
    <w:rsid w:val="00EA15A4"/>
    <w:rsid w:val="00EE3538"/>
    <w:rsid w:val="00F07A63"/>
    <w:rsid w:val="00F7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FE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D00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F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F4CCC"/>
    <w:rPr>
      <w:rFonts w:ascii="Calibri" w:eastAsia="Calibri" w:hAnsi="Calibri" w:cs="Times New Roman"/>
      <w:lang w:eastAsia="uk-UA"/>
    </w:rPr>
  </w:style>
  <w:style w:type="paragraph" w:styleId="a5">
    <w:name w:val="footer"/>
    <w:basedOn w:val="a"/>
    <w:link w:val="a6"/>
    <w:uiPriority w:val="99"/>
    <w:unhideWhenUsed/>
    <w:rsid w:val="00AF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F4CCC"/>
    <w:rPr>
      <w:rFonts w:ascii="Calibri" w:eastAsia="Calibri" w:hAnsi="Calibri" w:cs="Times New Roman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AF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F4CCC"/>
    <w:rPr>
      <w:rFonts w:ascii="Tahoma" w:eastAsia="Calibri" w:hAnsi="Tahoma" w:cs="Tahoma"/>
      <w:sz w:val="16"/>
      <w:szCs w:val="16"/>
      <w:lang w:eastAsia="uk-UA"/>
    </w:rPr>
  </w:style>
  <w:style w:type="paragraph" w:styleId="a9">
    <w:name w:val="List Paragraph"/>
    <w:aliases w:val="EBRD List,Список уровня 2,название табл/рис,заголовок 1.1,AC List 01,Chapter10,Bullet Number,Bullet 1,Use Case List Paragraph,lp1,lp11,List Paragraph11,CA bullets,Elenco Normale,Литература,Number Bullets,Абзац списку 1,тв-Абзац списка"/>
    <w:basedOn w:val="a"/>
    <w:link w:val="aa"/>
    <w:uiPriority w:val="34"/>
    <w:qFormat/>
    <w:rsid w:val="00CE6F96"/>
    <w:pPr>
      <w:spacing w:after="160" w:line="259" w:lineRule="auto"/>
      <w:ind w:left="720"/>
      <w:contextualSpacing/>
    </w:pPr>
    <w:rPr>
      <w:rFonts w:cs="Calibri"/>
    </w:rPr>
  </w:style>
  <w:style w:type="character" w:customStyle="1" w:styleId="aa">
    <w:name w:val="Абзац списку Знак"/>
    <w:aliases w:val="EBRD List Знак,Список уровня 2 Знак,название табл/рис Знак,заголовок 1.1 Знак,AC List 01 Знак,Chapter10 Знак,Bullet Number Знак,Bullet 1 Знак,Use Case List Paragraph Знак,lp1 Знак,lp11 Знак,List Paragraph11 Знак,CA bullets Знак"/>
    <w:link w:val="a9"/>
    <w:uiPriority w:val="34"/>
    <w:locked/>
    <w:rsid w:val="00CE6F96"/>
    <w:rPr>
      <w:rFonts w:ascii="Calibri" w:eastAsia="Calibri" w:hAnsi="Calibri" w:cs="Calibri"/>
      <w:lang w:eastAsia="uk-UA"/>
    </w:rPr>
  </w:style>
  <w:style w:type="paragraph" w:styleId="ab">
    <w:name w:val="Normal (Web)"/>
    <w:basedOn w:val="a"/>
    <w:uiPriority w:val="99"/>
    <w:semiHidden/>
    <w:unhideWhenUsed/>
    <w:rsid w:val="00CE6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CE6F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FE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D00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F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F4CCC"/>
    <w:rPr>
      <w:rFonts w:ascii="Calibri" w:eastAsia="Calibri" w:hAnsi="Calibri" w:cs="Times New Roman"/>
      <w:lang w:eastAsia="uk-UA"/>
    </w:rPr>
  </w:style>
  <w:style w:type="paragraph" w:styleId="a5">
    <w:name w:val="footer"/>
    <w:basedOn w:val="a"/>
    <w:link w:val="a6"/>
    <w:uiPriority w:val="99"/>
    <w:unhideWhenUsed/>
    <w:rsid w:val="00AF4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F4CCC"/>
    <w:rPr>
      <w:rFonts w:ascii="Calibri" w:eastAsia="Calibri" w:hAnsi="Calibri" w:cs="Times New Roman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AF4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F4CCC"/>
    <w:rPr>
      <w:rFonts w:ascii="Tahoma" w:eastAsia="Calibri" w:hAnsi="Tahoma" w:cs="Tahoma"/>
      <w:sz w:val="16"/>
      <w:szCs w:val="16"/>
      <w:lang w:eastAsia="uk-UA"/>
    </w:rPr>
  </w:style>
  <w:style w:type="paragraph" w:styleId="a9">
    <w:name w:val="List Paragraph"/>
    <w:aliases w:val="EBRD List,Список уровня 2,название табл/рис,заголовок 1.1,AC List 01,Chapter10,Bullet Number,Bullet 1,Use Case List Paragraph,lp1,lp11,List Paragraph11,CA bullets,Elenco Normale,Литература,Number Bullets,Абзац списку 1,тв-Абзац списка"/>
    <w:basedOn w:val="a"/>
    <w:link w:val="aa"/>
    <w:uiPriority w:val="34"/>
    <w:qFormat/>
    <w:rsid w:val="00CE6F96"/>
    <w:pPr>
      <w:spacing w:after="160" w:line="259" w:lineRule="auto"/>
      <w:ind w:left="720"/>
      <w:contextualSpacing/>
    </w:pPr>
    <w:rPr>
      <w:rFonts w:cs="Calibri"/>
    </w:rPr>
  </w:style>
  <w:style w:type="character" w:customStyle="1" w:styleId="aa">
    <w:name w:val="Абзац списку Знак"/>
    <w:aliases w:val="EBRD List Знак,Список уровня 2 Знак,название табл/рис Знак,заголовок 1.1 Знак,AC List 01 Знак,Chapter10 Знак,Bullet Number Знак,Bullet 1 Знак,Use Case List Paragraph Знак,lp1 Знак,lp11 Знак,List Paragraph11 Знак,CA bullets Знак"/>
    <w:link w:val="a9"/>
    <w:uiPriority w:val="34"/>
    <w:locked/>
    <w:rsid w:val="00CE6F96"/>
    <w:rPr>
      <w:rFonts w:ascii="Calibri" w:eastAsia="Calibri" w:hAnsi="Calibri" w:cs="Calibri"/>
      <w:lang w:eastAsia="uk-UA"/>
    </w:rPr>
  </w:style>
  <w:style w:type="paragraph" w:styleId="ab">
    <w:name w:val="Normal (Web)"/>
    <w:basedOn w:val="a"/>
    <w:uiPriority w:val="99"/>
    <w:semiHidden/>
    <w:unhideWhenUsed/>
    <w:rsid w:val="00CE6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CE6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15256</Words>
  <Characters>8696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19</cp:revision>
  <dcterms:created xsi:type="dcterms:W3CDTF">2024-12-19T15:57:00Z</dcterms:created>
  <dcterms:modified xsi:type="dcterms:W3CDTF">2025-04-17T12:25:00Z</dcterms:modified>
</cp:coreProperties>
</file>